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2830" w14:textId="77777777" w:rsidR="00F85554" w:rsidRPr="000D3717" w:rsidRDefault="00F85554">
      <w:pPr>
        <w:rPr>
          <w:rFonts w:ascii="Times New Roman" w:hAnsi="Times New Roman" w:cs="Times New Roman"/>
          <w:noProof/>
          <w:sz w:val="24"/>
          <w:szCs w:val="24"/>
        </w:rPr>
      </w:pPr>
    </w:p>
    <w:p w14:paraId="7B75C147" w14:textId="77777777" w:rsidR="00F85554" w:rsidRPr="000D3717" w:rsidRDefault="00F85554">
      <w:pPr>
        <w:rPr>
          <w:rFonts w:ascii="Times New Roman" w:hAnsi="Times New Roman" w:cs="Times New Roman"/>
          <w:noProof/>
          <w:sz w:val="24"/>
          <w:szCs w:val="24"/>
        </w:rPr>
      </w:pPr>
    </w:p>
    <w:p w14:paraId="6F84CD22" w14:textId="77777777" w:rsidR="00F85554" w:rsidRPr="000D3717" w:rsidRDefault="00F85554">
      <w:pPr>
        <w:rPr>
          <w:rFonts w:ascii="Times New Roman" w:hAnsi="Times New Roman" w:cs="Times New Roman"/>
          <w:noProof/>
          <w:sz w:val="24"/>
          <w:szCs w:val="24"/>
        </w:rPr>
      </w:pPr>
    </w:p>
    <w:p w14:paraId="54BE736F" w14:textId="77777777" w:rsidR="0030194A" w:rsidRPr="000D3717" w:rsidRDefault="0030194A">
      <w:pPr>
        <w:rPr>
          <w:rFonts w:ascii="Times New Roman" w:hAnsi="Times New Roman" w:cs="Times New Roman"/>
          <w:sz w:val="24"/>
          <w:szCs w:val="24"/>
        </w:rPr>
      </w:pPr>
      <w:r w:rsidRPr="000D3717">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4F12F6DA" wp14:editId="2594E249">
            <wp:simplePos x="0" y="0"/>
            <wp:positionH relativeFrom="column">
              <wp:posOffset>2533650</wp:posOffset>
            </wp:positionH>
            <wp:positionV relativeFrom="paragraph">
              <wp:posOffset>-114300</wp:posOffset>
            </wp:positionV>
            <wp:extent cx="79057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p>
    <w:p w14:paraId="295F3A53" w14:textId="77777777" w:rsidR="0030194A" w:rsidRPr="000D3717" w:rsidRDefault="0030194A">
      <w:pPr>
        <w:rPr>
          <w:rFonts w:ascii="Times New Roman" w:hAnsi="Times New Roman" w:cs="Times New Roman"/>
          <w:sz w:val="24"/>
          <w:szCs w:val="24"/>
        </w:rPr>
      </w:pPr>
    </w:p>
    <w:p w14:paraId="454D4331" w14:textId="77777777" w:rsidR="0030194A" w:rsidRPr="000D3717" w:rsidRDefault="0030194A">
      <w:pPr>
        <w:rPr>
          <w:rFonts w:ascii="Times New Roman" w:hAnsi="Times New Roman" w:cs="Times New Roman"/>
          <w:sz w:val="24"/>
          <w:szCs w:val="24"/>
        </w:rPr>
      </w:pPr>
    </w:p>
    <w:p w14:paraId="40177BC1" w14:textId="77777777" w:rsidR="0030194A" w:rsidRPr="000D3717" w:rsidRDefault="0030194A" w:rsidP="0030194A">
      <w:pPr>
        <w:pStyle w:val="NoSpacing"/>
        <w:jc w:val="center"/>
        <w:rPr>
          <w:rFonts w:ascii="Times New Roman" w:eastAsia="Batang" w:hAnsi="Times New Roman"/>
          <w:b/>
          <w:bCs/>
          <w:sz w:val="24"/>
          <w:szCs w:val="24"/>
          <w:lang w:val="sv-SE"/>
        </w:rPr>
      </w:pPr>
      <w:r w:rsidRPr="000D3717">
        <w:rPr>
          <w:rFonts w:ascii="Times New Roman" w:hAnsi="Times New Roman"/>
          <w:b/>
          <w:bCs/>
          <w:sz w:val="24"/>
          <w:szCs w:val="24"/>
        </w:rPr>
        <w:t>Republika e Kosovës</w:t>
      </w:r>
    </w:p>
    <w:p w14:paraId="5FF3637E" w14:textId="77777777" w:rsidR="0030194A" w:rsidRPr="000D3717" w:rsidRDefault="0030194A" w:rsidP="0030194A">
      <w:pPr>
        <w:pStyle w:val="NoSpacing"/>
        <w:jc w:val="center"/>
        <w:rPr>
          <w:rFonts w:ascii="Times New Roman" w:hAnsi="Times New Roman"/>
          <w:b/>
          <w:bCs/>
          <w:sz w:val="24"/>
          <w:szCs w:val="24"/>
          <w:lang w:val="sv-SE"/>
        </w:rPr>
      </w:pPr>
      <w:r w:rsidRPr="000D3717">
        <w:rPr>
          <w:rFonts w:ascii="Times New Roman" w:eastAsia="Batang" w:hAnsi="Times New Roman"/>
          <w:b/>
          <w:bCs/>
          <w:sz w:val="24"/>
          <w:szCs w:val="24"/>
          <w:lang w:val="sv-SE"/>
        </w:rPr>
        <w:t>Republika Kosova-</w:t>
      </w:r>
      <w:r w:rsidRPr="000D3717">
        <w:rPr>
          <w:rFonts w:ascii="Times New Roman" w:hAnsi="Times New Roman"/>
          <w:b/>
          <w:bCs/>
          <w:sz w:val="24"/>
          <w:szCs w:val="24"/>
          <w:lang w:val="sv-SE"/>
        </w:rPr>
        <w:t xml:space="preserve">Republic of </w:t>
      </w:r>
      <w:r w:rsidRPr="000D3717">
        <w:rPr>
          <w:rFonts w:ascii="Times New Roman" w:hAnsi="Times New Roman"/>
          <w:b/>
          <w:bCs/>
          <w:sz w:val="24"/>
          <w:szCs w:val="24"/>
        </w:rPr>
        <w:t>Kosovo</w:t>
      </w:r>
    </w:p>
    <w:p w14:paraId="173CC473" w14:textId="77777777" w:rsidR="0030194A" w:rsidRPr="000D3717" w:rsidRDefault="0030194A" w:rsidP="0030194A">
      <w:pPr>
        <w:pStyle w:val="NoSpacing"/>
        <w:jc w:val="center"/>
        <w:rPr>
          <w:rFonts w:ascii="Times New Roman" w:hAnsi="Times New Roman"/>
          <w:i/>
          <w:iCs/>
          <w:sz w:val="24"/>
          <w:szCs w:val="24"/>
        </w:rPr>
      </w:pPr>
      <w:r w:rsidRPr="000D3717">
        <w:rPr>
          <w:rFonts w:ascii="Times New Roman" w:hAnsi="Times New Roman"/>
          <w:i/>
          <w:iCs/>
          <w:sz w:val="24"/>
          <w:szCs w:val="24"/>
        </w:rPr>
        <w:t xml:space="preserve">Qeveria - </w:t>
      </w:r>
      <w:proofErr w:type="spellStart"/>
      <w:r w:rsidRPr="000D3717">
        <w:rPr>
          <w:rFonts w:ascii="Times New Roman" w:hAnsi="Times New Roman"/>
          <w:i/>
          <w:iCs/>
          <w:sz w:val="24"/>
          <w:szCs w:val="24"/>
        </w:rPr>
        <w:t>Vlada</w:t>
      </w:r>
      <w:proofErr w:type="spellEnd"/>
      <w:r w:rsidRPr="000D3717">
        <w:rPr>
          <w:rFonts w:ascii="Times New Roman" w:hAnsi="Times New Roman"/>
          <w:i/>
          <w:iCs/>
          <w:sz w:val="24"/>
          <w:szCs w:val="24"/>
        </w:rPr>
        <w:t xml:space="preserve"> – </w:t>
      </w:r>
      <w:proofErr w:type="spellStart"/>
      <w:r w:rsidRPr="000D3717">
        <w:rPr>
          <w:rFonts w:ascii="Times New Roman" w:hAnsi="Times New Roman"/>
          <w:i/>
          <w:iCs/>
          <w:sz w:val="24"/>
          <w:szCs w:val="24"/>
        </w:rPr>
        <w:t>Government</w:t>
      </w:r>
      <w:proofErr w:type="spellEnd"/>
    </w:p>
    <w:p w14:paraId="114923EE" w14:textId="77777777" w:rsidR="0030194A" w:rsidRPr="000D3717" w:rsidRDefault="0030194A" w:rsidP="0030194A">
      <w:pPr>
        <w:pStyle w:val="NoSpacing"/>
        <w:jc w:val="center"/>
        <w:rPr>
          <w:rFonts w:ascii="Times New Roman" w:hAnsi="Times New Roman"/>
          <w:i/>
          <w:iCs/>
          <w:sz w:val="24"/>
          <w:szCs w:val="24"/>
        </w:rPr>
      </w:pPr>
    </w:p>
    <w:p w14:paraId="3DF4251F" w14:textId="77777777" w:rsidR="0030194A" w:rsidRPr="000D3717" w:rsidRDefault="0030194A" w:rsidP="0030194A">
      <w:pPr>
        <w:pStyle w:val="CharCharChar"/>
        <w:pBdr>
          <w:bottom w:val="single" w:sz="12" w:space="1" w:color="auto"/>
        </w:pBdr>
        <w:jc w:val="center"/>
        <w:rPr>
          <w:rFonts w:ascii="Times New Roman" w:hAnsi="Times New Roman"/>
          <w:i/>
          <w:iCs/>
          <w:color w:val="000000"/>
          <w:sz w:val="24"/>
          <w:szCs w:val="24"/>
        </w:rPr>
      </w:pPr>
      <w:r w:rsidRPr="000D3717">
        <w:rPr>
          <w:rFonts w:ascii="Times New Roman" w:hAnsi="Times New Roman"/>
          <w:i/>
          <w:color w:val="000000"/>
          <w:sz w:val="24"/>
          <w:szCs w:val="24"/>
        </w:rPr>
        <w:t>Ministria e Tregtisë dhe Industrisë - Ministarstvo Trgovine i Industrije - Ministry of Trade and Industry</w:t>
      </w:r>
    </w:p>
    <w:p w14:paraId="5A40F0EC" w14:textId="77777777" w:rsidR="0030194A" w:rsidRPr="000D3717" w:rsidRDefault="0030194A">
      <w:pPr>
        <w:rPr>
          <w:rFonts w:ascii="Times New Roman" w:hAnsi="Times New Roman" w:cs="Times New Roman"/>
          <w:sz w:val="24"/>
          <w:szCs w:val="24"/>
        </w:rPr>
      </w:pPr>
    </w:p>
    <w:p w14:paraId="086785B3" w14:textId="77777777" w:rsidR="00F85554" w:rsidRPr="000D3717" w:rsidRDefault="00F85554">
      <w:pPr>
        <w:rPr>
          <w:rFonts w:ascii="Times New Roman" w:hAnsi="Times New Roman" w:cs="Times New Roman"/>
          <w:sz w:val="24"/>
          <w:szCs w:val="24"/>
        </w:rPr>
      </w:pPr>
    </w:p>
    <w:p w14:paraId="0680D017" w14:textId="77777777" w:rsidR="00F85554" w:rsidRPr="000D3717" w:rsidRDefault="00F85554">
      <w:pPr>
        <w:rPr>
          <w:rFonts w:ascii="Times New Roman" w:hAnsi="Times New Roman" w:cs="Times New Roman"/>
          <w:sz w:val="24"/>
          <w:szCs w:val="24"/>
        </w:rPr>
      </w:pPr>
    </w:p>
    <w:p w14:paraId="16BBAE57" w14:textId="77777777" w:rsidR="00F85554" w:rsidRPr="000D3717" w:rsidRDefault="00F85554">
      <w:pPr>
        <w:rPr>
          <w:rFonts w:ascii="Times New Roman" w:hAnsi="Times New Roman" w:cs="Times New Roman"/>
          <w:sz w:val="24"/>
          <w:szCs w:val="24"/>
        </w:rPr>
      </w:pPr>
    </w:p>
    <w:p w14:paraId="391C0AFC" w14:textId="77777777" w:rsidR="00F85554" w:rsidRPr="000D3717" w:rsidRDefault="00F85554">
      <w:pPr>
        <w:rPr>
          <w:rFonts w:ascii="Times New Roman" w:hAnsi="Times New Roman" w:cs="Times New Roman"/>
          <w:sz w:val="24"/>
          <w:szCs w:val="24"/>
        </w:rPr>
      </w:pPr>
    </w:p>
    <w:p w14:paraId="03DE350D" w14:textId="77777777" w:rsidR="00F85554" w:rsidRPr="000D3717" w:rsidRDefault="00F85554">
      <w:pPr>
        <w:rPr>
          <w:rFonts w:ascii="Times New Roman" w:hAnsi="Times New Roman" w:cs="Times New Roman"/>
          <w:sz w:val="24"/>
          <w:szCs w:val="24"/>
        </w:rPr>
      </w:pPr>
    </w:p>
    <w:p w14:paraId="7EA5DC7B" w14:textId="77777777" w:rsidR="00F85554" w:rsidRPr="000D3717" w:rsidRDefault="00F85554">
      <w:pPr>
        <w:rPr>
          <w:rFonts w:ascii="Times New Roman" w:hAnsi="Times New Roman" w:cs="Times New Roman"/>
          <w:sz w:val="24"/>
          <w:szCs w:val="24"/>
        </w:rPr>
      </w:pPr>
    </w:p>
    <w:p w14:paraId="3C0853B1" w14:textId="06CA594F" w:rsidR="00F85554" w:rsidRPr="000D3717" w:rsidRDefault="000C25D9" w:rsidP="00F85554">
      <w:pPr>
        <w:jc w:val="center"/>
        <w:rPr>
          <w:rFonts w:ascii="Times New Roman" w:hAnsi="Times New Roman" w:cs="Times New Roman"/>
          <w:sz w:val="24"/>
          <w:szCs w:val="24"/>
        </w:rPr>
      </w:pPr>
      <w:r>
        <w:rPr>
          <w:rFonts w:ascii="Times New Roman" w:hAnsi="Times New Roman" w:cs="Times New Roman"/>
          <w:b/>
          <w:sz w:val="24"/>
          <w:szCs w:val="24"/>
        </w:rPr>
        <w:t xml:space="preserve">DRAFT </w:t>
      </w:r>
      <w:bookmarkStart w:id="0" w:name="_GoBack"/>
      <w:bookmarkEnd w:id="0"/>
      <w:r w:rsidR="009015B2">
        <w:rPr>
          <w:rFonts w:ascii="Times New Roman" w:hAnsi="Times New Roman" w:cs="Times New Roman"/>
          <w:b/>
          <w:sz w:val="24"/>
          <w:szCs w:val="24"/>
        </w:rPr>
        <w:t>KONCEPT DOKUMENTI</w:t>
      </w:r>
      <w:r w:rsidR="00F85554" w:rsidRPr="000D3717">
        <w:rPr>
          <w:rFonts w:ascii="Times New Roman" w:hAnsi="Times New Roman" w:cs="Times New Roman"/>
          <w:b/>
          <w:sz w:val="24"/>
          <w:szCs w:val="24"/>
        </w:rPr>
        <w:t xml:space="preserve"> NË FUSHËN E KONKURRENCËS</w:t>
      </w:r>
    </w:p>
    <w:p w14:paraId="267F94A1" w14:textId="77777777" w:rsidR="0030194A" w:rsidRPr="000D3717" w:rsidRDefault="0030194A">
      <w:pPr>
        <w:rPr>
          <w:rFonts w:ascii="Times New Roman" w:hAnsi="Times New Roman" w:cs="Times New Roman"/>
          <w:sz w:val="24"/>
          <w:szCs w:val="24"/>
        </w:rPr>
      </w:pPr>
    </w:p>
    <w:p w14:paraId="0775AA7A" w14:textId="77777777" w:rsidR="0030194A" w:rsidRPr="000D3717" w:rsidRDefault="0030194A">
      <w:pPr>
        <w:rPr>
          <w:rFonts w:ascii="Times New Roman" w:hAnsi="Times New Roman" w:cs="Times New Roman"/>
          <w:sz w:val="24"/>
          <w:szCs w:val="24"/>
        </w:rPr>
      </w:pPr>
    </w:p>
    <w:p w14:paraId="4819B075" w14:textId="77777777" w:rsidR="0030194A" w:rsidRPr="000D3717" w:rsidRDefault="0030194A">
      <w:pPr>
        <w:rPr>
          <w:rFonts w:ascii="Times New Roman" w:hAnsi="Times New Roman" w:cs="Times New Roman"/>
          <w:sz w:val="24"/>
          <w:szCs w:val="24"/>
        </w:rPr>
      </w:pPr>
    </w:p>
    <w:p w14:paraId="1C9363CE" w14:textId="77777777" w:rsidR="0030194A" w:rsidRPr="000D3717" w:rsidRDefault="0030194A">
      <w:pPr>
        <w:rPr>
          <w:rFonts w:ascii="Times New Roman" w:hAnsi="Times New Roman" w:cs="Times New Roman"/>
          <w:sz w:val="24"/>
          <w:szCs w:val="24"/>
        </w:rPr>
      </w:pPr>
    </w:p>
    <w:p w14:paraId="5D688D82" w14:textId="77777777" w:rsidR="0030194A" w:rsidRPr="000D3717" w:rsidRDefault="0030194A">
      <w:pPr>
        <w:rPr>
          <w:rFonts w:ascii="Times New Roman" w:hAnsi="Times New Roman" w:cs="Times New Roman"/>
          <w:sz w:val="24"/>
          <w:szCs w:val="24"/>
        </w:rPr>
      </w:pPr>
    </w:p>
    <w:p w14:paraId="0F098C7F" w14:textId="77777777" w:rsidR="0030194A" w:rsidRPr="000D3717" w:rsidRDefault="0030194A">
      <w:pPr>
        <w:rPr>
          <w:rFonts w:ascii="Times New Roman" w:hAnsi="Times New Roman" w:cs="Times New Roman"/>
          <w:sz w:val="24"/>
          <w:szCs w:val="24"/>
        </w:rPr>
      </w:pPr>
    </w:p>
    <w:p w14:paraId="7C5F968F" w14:textId="77777777" w:rsidR="0030194A" w:rsidRPr="000D3717" w:rsidRDefault="0030194A">
      <w:pPr>
        <w:rPr>
          <w:rFonts w:ascii="Times New Roman" w:hAnsi="Times New Roman" w:cs="Times New Roman"/>
          <w:sz w:val="24"/>
          <w:szCs w:val="24"/>
        </w:rPr>
      </w:pPr>
    </w:p>
    <w:p w14:paraId="7A1FF584" w14:textId="77777777" w:rsidR="00F85554" w:rsidRPr="000D3717" w:rsidRDefault="00F85554">
      <w:pPr>
        <w:rPr>
          <w:rFonts w:ascii="Times New Roman" w:hAnsi="Times New Roman" w:cs="Times New Roman"/>
          <w:sz w:val="24"/>
          <w:szCs w:val="24"/>
        </w:rPr>
      </w:pPr>
    </w:p>
    <w:p w14:paraId="371AB5AD" w14:textId="77777777" w:rsidR="00F85554" w:rsidRPr="000D3717" w:rsidRDefault="00F85554">
      <w:pPr>
        <w:rPr>
          <w:rFonts w:ascii="Times New Roman" w:hAnsi="Times New Roman" w:cs="Times New Roman"/>
          <w:sz w:val="24"/>
          <w:szCs w:val="24"/>
        </w:rPr>
      </w:pPr>
    </w:p>
    <w:p w14:paraId="16B876E8" w14:textId="77777777" w:rsidR="00A61B6E" w:rsidRPr="000D3717" w:rsidRDefault="00C325AA" w:rsidP="00F85554">
      <w:pPr>
        <w:spacing w:after="0"/>
        <w:rPr>
          <w:rFonts w:ascii="Times New Roman" w:hAnsi="Times New Roman" w:cs="Times New Roman"/>
          <w:sz w:val="24"/>
          <w:szCs w:val="24"/>
        </w:rPr>
      </w:pPr>
      <w:r w:rsidRPr="000D3717">
        <w:rPr>
          <w:rFonts w:ascii="Times New Roman" w:hAnsi="Times New Roman" w:cs="Times New Roman"/>
          <w:sz w:val="24"/>
          <w:szCs w:val="24"/>
        </w:rPr>
        <w:t>P</w:t>
      </w:r>
      <w:r w:rsidR="00180BB0" w:rsidRPr="000D3717">
        <w:rPr>
          <w:rFonts w:ascii="Times New Roman" w:hAnsi="Times New Roman" w:cs="Times New Roman"/>
          <w:sz w:val="24"/>
          <w:szCs w:val="24"/>
        </w:rPr>
        <w:t>ë</w:t>
      </w:r>
      <w:r w:rsidRPr="000D3717">
        <w:rPr>
          <w:rFonts w:ascii="Times New Roman" w:hAnsi="Times New Roman" w:cs="Times New Roman"/>
          <w:sz w:val="24"/>
          <w:szCs w:val="24"/>
        </w:rPr>
        <w:t>r</w:t>
      </w:r>
      <w:r w:rsidR="00180BB0" w:rsidRPr="000D3717">
        <w:rPr>
          <w:rFonts w:ascii="Times New Roman" w:hAnsi="Times New Roman" w:cs="Times New Roman"/>
          <w:sz w:val="24"/>
          <w:szCs w:val="24"/>
        </w:rPr>
        <w:t>gatitur nga</w:t>
      </w:r>
      <w:r w:rsidR="00F85554" w:rsidRPr="000D3717">
        <w:rPr>
          <w:rFonts w:ascii="Times New Roman" w:hAnsi="Times New Roman" w:cs="Times New Roman"/>
          <w:sz w:val="24"/>
          <w:szCs w:val="24"/>
        </w:rPr>
        <w:t xml:space="preserve"> </w:t>
      </w:r>
      <w:r w:rsidR="00F85554" w:rsidRPr="000D3717">
        <w:rPr>
          <w:rFonts w:ascii="Times New Roman" w:hAnsi="Times New Roman" w:cs="Times New Roman"/>
          <w:b/>
          <w:sz w:val="24"/>
          <w:szCs w:val="24"/>
        </w:rPr>
        <w:t>Ministria e Tregtisë dhe Industrisë</w:t>
      </w:r>
    </w:p>
    <w:p w14:paraId="3DB65994" w14:textId="77777777" w:rsidR="00F85554" w:rsidRPr="000D3717" w:rsidRDefault="00F85554" w:rsidP="00F85554">
      <w:pPr>
        <w:spacing w:after="0"/>
        <w:rPr>
          <w:rFonts w:ascii="Times New Roman" w:hAnsi="Times New Roman" w:cs="Times New Roman"/>
          <w:b/>
          <w:sz w:val="24"/>
          <w:szCs w:val="24"/>
        </w:rPr>
      </w:pPr>
      <w:r w:rsidRPr="000D3717">
        <w:rPr>
          <w:rFonts w:ascii="Times New Roman" w:hAnsi="Times New Roman" w:cs="Times New Roman"/>
          <w:b/>
          <w:sz w:val="24"/>
          <w:szCs w:val="24"/>
        </w:rPr>
        <w:t>Maj-Nëntor, 2018</w:t>
      </w:r>
    </w:p>
    <w:p w14:paraId="17975E8E" w14:textId="77777777" w:rsidR="002072D2" w:rsidRPr="000D3717" w:rsidRDefault="002072D2">
      <w:pP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341398042"/>
        <w:docPartObj>
          <w:docPartGallery w:val="Table of Contents"/>
          <w:docPartUnique/>
        </w:docPartObj>
      </w:sdtPr>
      <w:sdtEndPr>
        <w:rPr>
          <w:b/>
          <w:bCs/>
        </w:rPr>
      </w:sdtEndPr>
      <w:sdtContent>
        <w:p w14:paraId="2513349F" w14:textId="77777777" w:rsidR="00A61B6E" w:rsidRPr="000D3717" w:rsidRDefault="00180BB0">
          <w:pPr>
            <w:pStyle w:val="TOCHeading"/>
            <w:rPr>
              <w:rFonts w:ascii="Times New Roman" w:hAnsi="Times New Roman" w:cs="Times New Roman"/>
              <w:sz w:val="24"/>
              <w:szCs w:val="24"/>
            </w:rPr>
          </w:pPr>
          <w:r w:rsidRPr="000D3717">
            <w:rPr>
              <w:rFonts w:ascii="Times New Roman" w:hAnsi="Times New Roman" w:cs="Times New Roman"/>
              <w:sz w:val="24"/>
              <w:szCs w:val="24"/>
            </w:rPr>
            <w:t>Përmbajtja</w:t>
          </w:r>
        </w:p>
        <w:p w14:paraId="4B6777C6" w14:textId="77777777" w:rsidR="00341D3A" w:rsidRDefault="0064305F">
          <w:pPr>
            <w:pStyle w:val="TOC1"/>
            <w:tabs>
              <w:tab w:val="right" w:leader="dot" w:pos="9350"/>
            </w:tabs>
            <w:rPr>
              <w:rFonts w:eastAsiaTheme="minorEastAsia"/>
              <w:noProof/>
              <w:lang w:val="en-US"/>
            </w:rPr>
          </w:pPr>
          <w:r w:rsidRPr="000D3717">
            <w:rPr>
              <w:rFonts w:ascii="Times New Roman" w:hAnsi="Times New Roman" w:cs="Times New Roman"/>
              <w:sz w:val="24"/>
              <w:szCs w:val="24"/>
            </w:rPr>
            <w:fldChar w:fldCharType="begin"/>
          </w:r>
          <w:r w:rsidR="00A61B6E" w:rsidRPr="000D3717">
            <w:rPr>
              <w:rFonts w:ascii="Times New Roman" w:hAnsi="Times New Roman" w:cs="Times New Roman"/>
              <w:sz w:val="24"/>
              <w:szCs w:val="24"/>
            </w:rPr>
            <w:instrText xml:space="preserve"> TOC \o "1-3" \h \z \u </w:instrText>
          </w:r>
          <w:r w:rsidRPr="000D3717">
            <w:rPr>
              <w:rFonts w:ascii="Times New Roman" w:hAnsi="Times New Roman" w:cs="Times New Roman"/>
              <w:sz w:val="24"/>
              <w:szCs w:val="24"/>
            </w:rPr>
            <w:fldChar w:fldCharType="separate"/>
          </w:r>
          <w:hyperlink w:anchor="_Toc532388151" w:history="1">
            <w:r w:rsidR="00341D3A" w:rsidRPr="00BE39DC">
              <w:rPr>
                <w:rStyle w:val="Hyperlink"/>
                <w:rFonts w:ascii="Times New Roman" w:hAnsi="Times New Roman" w:cs="Times New Roman"/>
                <w:noProof/>
              </w:rPr>
              <w:t>Hyrje</w:t>
            </w:r>
            <w:r w:rsidR="00341D3A">
              <w:rPr>
                <w:noProof/>
                <w:webHidden/>
              </w:rPr>
              <w:tab/>
            </w:r>
            <w:r w:rsidR="00341D3A">
              <w:rPr>
                <w:noProof/>
                <w:webHidden/>
              </w:rPr>
              <w:fldChar w:fldCharType="begin"/>
            </w:r>
            <w:r w:rsidR="00341D3A">
              <w:rPr>
                <w:noProof/>
                <w:webHidden/>
              </w:rPr>
              <w:instrText xml:space="preserve"> PAGEREF _Toc532388151 \h </w:instrText>
            </w:r>
            <w:r w:rsidR="00341D3A">
              <w:rPr>
                <w:noProof/>
                <w:webHidden/>
              </w:rPr>
            </w:r>
            <w:r w:rsidR="00341D3A">
              <w:rPr>
                <w:noProof/>
                <w:webHidden/>
              </w:rPr>
              <w:fldChar w:fldCharType="separate"/>
            </w:r>
            <w:r w:rsidR="00341D3A">
              <w:rPr>
                <w:noProof/>
                <w:webHidden/>
              </w:rPr>
              <w:t>6</w:t>
            </w:r>
            <w:r w:rsidR="00341D3A">
              <w:rPr>
                <w:noProof/>
                <w:webHidden/>
              </w:rPr>
              <w:fldChar w:fldCharType="end"/>
            </w:r>
          </w:hyperlink>
        </w:p>
        <w:p w14:paraId="5B6ACD81" w14:textId="77777777" w:rsidR="00341D3A" w:rsidRDefault="00341D3A">
          <w:pPr>
            <w:pStyle w:val="TOC1"/>
            <w:tabs>
              <w:tab w:val="right" w:leader="dot" w:pos="9350"/>
            </w:tabs>
            <w:rPr>
              <w:rFonts w:eastAsiaTheme="minorEastAsia"/>
              <w:noProof/>
              <w:lang w:val="en-US"/>
            </w:rPr>
          </w:pPr>
          <w:hyperlink w:anchor="_Toc532388152" w:history="1">
            <w:r w:rsidRPr="00BE39DC">
              <w:rPr>
                <w:rStyle w:val="Hyperlink"/>
                <w:rFonts w:ascii="Times New Roman" w:hAnsi="Times New Roman" w:cs="Times New Roman"/>
                <w:noProof/>
              </w:rPr>
              <w:t>Kapitulli 1: Përkufizimi i problemit</w:t>
            </w:r>
            <w:r>
              <w:rPr>
                <w:noProof/>
                <w:webHidden/>
              </w:rPr>
              <w:tab/>
            </w:r>
            <w:r>
              <w:rPr>
                <w:noProof/>
                <w:webHidden/>
              </w:rPr>
              <w:fldChar w:fldCharType="begin"/>
            </w:r>
            <w:r>
              <w:rPr>
                <w:noProof/>
                <w:webHidden/>
              </w:rPr>
              <w:instrText xml:space="preserve"> PAGEREF _Toc532388152 \h </w:instrText>
            </w:r>
            <w:r>
              <w:rPr>
                <w:noProof/>
                <w:webHidden/>
              </w:rPr>
            </w:r>
            <w:r>
              <w:rPr>
                <w:noProof/>
                <w:webHidden/>
              </w:rPr>
              <w:fldChar w:fldCharType="separate"/>
            </w:r>
            <w:r>
              <w:rPr>
                <w:noProof/>
                <w:webHidden/>
              </w:rPr>
              <w:t>7</w:t>
            </w:r>
            <w:r>
              <w:rPr>
                <w:noProof/>
                <w:webHidden/>
              </w:rPr>
              <w:fldChar w:fldCharType="end"/>
            </w:r>
          </w:hyperlink>
        </w:p>
        <w:p w14:paraId="2B5AC141" w14:textId="77777777" w:rsidR="00341D3A" w:rsidRDefault="00341D3A">
          <w:pPr>
            <w:pStyle w:val="TOC1"/>
            <w:tabs>
              <w:tab w:val="right" w:leader="dot" w:pos="9350"/>
            </w:tabs>
            <w:rPr>
              <w:rFonts w:eastAsiaTheme="minorEastAsia"/>
              <w:noProof/>
              <w:lang w:val="en-US"/>
            </w:rPr>
          </w:pPr>
          <w:hyperlink w:anchor="_Toc532388153" w:history="1">
            <w:r w:rsidRPr="00BE39DC">
              <w:rPr>
                <w:rStyle w:val="Hyperlink"/>
                <w:rFonts w:ascii="Times New Roman" w:hAnsi="Times New Roman" w:cs="Times New Roman"/>
                <w:noProof/>
              </w:rPr>
              <w:t>Kapitulli 2: Objektivat</w:t>
            </w:r>
            <w:r>
              <w:rPr>
                <w:noProof/>
                <w:webHidden/>
              </w:rPr>
              <w:tab/>
            </w:r>
            <w:r>
              <w:rPr>
                <w:noProof/>
                <w:webHidden/>
              </w:rPr>
              <w:fldChar w:fldCharType="begin"/>
            </w:r>
            <w:r>
              <w:rPr>
                <w:noProof/>
                <w:webHidden/>
              </w:rPr>
              <w:instrText xml:space="preserve"> PAGEREF _Toc532388153 \h </w:instrText>
            </w:r>
            <w:r>
              <w:rPr>
                <w:noProof/>
                <w:webHidden/>
              </w:rPr>
            </w:r>
            <w:r>
              <w:rPr>
                <w:noProof/>
                <w:webHidden/>
              </w:rPr>
              <w:fldChar w:fldCharType="separate"/>
            </w:r>
            <w:r>
              <w:rPr>
                <w:noProof/>
                <w:webHidden/>
              </w:rPr>
              <w:t>37</w:t>
            </w:r>
            <w:r>
              <w:rPr>
                <w:noProof/>
                <w:webHidden/>
              </w:rPr>
              <w:fldChar w:fldCharType="end"/>
            </w:r>
          </w:hyperlink>
        </w:p>
        <w:p w14:paraId="53B4A9F6" w14:textId="77777777" w:rsidR="00341D3A" w:rsidRDefault="00341D3A">
          <w:pPr>
            <w:pStyle w:val="TOC1"/>
            <w:tabs>
              <w:tab w:val="right" w:leader="dot" w:pos="9350"/>
            </w:tabs>
            <w:rPr>
              <w:rFonts w:eastAsiaTheme="minorEastAsia"/>
              <w:noProof/>
              <w:lang w:val="en-US"/>
            </w:rPr>
          </w:pPr>
          <w:hyperlink w:anchor="_Toc532388154" w:history="1">
            <w:r w:rsidRPr="00BE39DC">
              <w:rPr>
                <w:rStyle w:val="Hyperlink"/>
                <w:rFonts w:ascii="Times New Roman" w:hAnsi="Times New Roman" w:cs="Times New Roman"/>
                <w:noProof/>
              </w:rPr>
              <w:t>Kapitulli 8 i Acquis-së: Politikat e konkurrencës;</w:t>
            </w:r>
            <w:r>
              <w:rPr>
                <w:noProof/>
                <w:webHidden/>
              </w:rPr>
              <w:tab/>
            </w:r>
            <w:r>
              <w:rPr>
                <w:noProof/>
                <w:webHidden/>
              </w:rPr>
              <w:fldChar w:fldCharType="begin"/>
            </w:r>
            <w:r>
              <w:rPr>
                <w:noProof/>
                <w:webHidden/>
              </w:rPr>
              <w:instrText xml:space="preserve"> PAGEREF _Toc532388154 \h </w:instrText>
            </w:r>
            <w:r>
              <w:rPr>
                <w:noProof/>
                <w:webHidden/>
              </w:rPr>
            </w:r>
            <w:r>
              <w:rPr>
                <w:noProof/>
                <w:webHidden/>
              </w:rPr>
              <w:fldChar w:fldCharType="separate"/>
            </w:r>
            <w:r>
              <w:rPr>
                <w:noProof/>
                <w:webHidden/>
              </w:rPr>
              <w:t>38</w:t>
            </w:r>
            <w:r>
              <w:rPr>
                <w:noProof/>
                <w:webHidden/>
              </w:rPr>
              <w:fldChar w:fldCharType="end"/>
            </w:r>
          </w:hyperlink>
        </w:p>
        <w:p w14:paraId="54E929EB" w14:textId="77777777" w:rsidR="00341D3A" w:rsidRDefault="00341D3A">
          <w:pPr>
            <w:pStyle w:val="TOC1"/>
            <w:tabs>
              <w:tab w:val="right" w:leader="dot" w:pos="9350"/>
            </w:tabs>
            <w:rPr>
              <w:rFonts w:eastAsiaTheme="minorEastAsia"/>
              <w:noProof/>
              <w:lang w:val="en-US"/>
            </w:rPr>
          </w:pPr>
          <w:hyperlink w:anchor="_Toc532388155" w:history="1">
            <w:r w:rsidRPr="00BE39DC">
              <w:rPr>
                <w:rStyle w:val="Hyperlink"/>
                <w:rFonts w:ascii="Times New Roman" w:hAnsi="Times New Roman" w:cs="Times New Roman"/>
                <w:noProof/>
              </w:rPr>
              <w:t>Kapitulli 3: Opsionet</w:t>
            </w:r>
            <w:r>
              <w:rPr>
                <w:noProof/>
                <w:webHidden/>
              </w:rPr>
              <w:tab/>
            </w:r>
            <w:r>
              <w:rPr>
                <w:noProof/>
                <w:webHidden/>
              </w:rPr>
              <w:fldChar w:fldCharType="begin"/>
            </w:r>
            <w:r>
              <w:rPr>
                <w:noProof/>
                <w:webHidden/>
              </w:rPr>
              <w:instrText xml:space="preserve"> PAGEREF _Toc532388155 \h </w:instrText>
            </w:r>
            <w:r>
              <w:rPr>
                <w:noProof/>
                <w:webHidden/>
              </w:rPr>
            </w:r>
            <w:r>
              <w:rPr>
                <w:noProof/>
                <w:webHidden/>
              </w:rPr>
              <w:fldChar w:fldCharType="separate"/>
            </w:r>
            <w:r>
              <w:rPr>
                <w:noProof/>
                <w:webHidden/>
              </w:rPr>
              <w:t>38</w:t>
            </w:r>
            <w:r>
              <w:rPr>
                <w:noProof/>
                <w:webHidden/>
              </w:rPr>
              <w:fldChar w:fldCharType="end"/>
            </w:r>
          </w:hyperlink>
        </w:p>
        <w:p w14:paraId="0FF9F743" w14:textId="77777777" w:rsidR="00341D3A" w:rsidRDefault="00341D3A">
          <w:pPr>
            <w:pStyle w:val="TOC2"/>
            <w:tabs>
              <w:tab w:val="right" w:leader="dot" w:pos="9350"/>
            </w:tabs>
            <w:rPr>
              <w:rFonts w:eastAsiaTheme="minorEastAsia"/>
              <w:noProof/>
              <w:lang w:val="en-US"/>
            </w:rPr>
          </w:pPr>
          <w:hyperlink w:anchor="_Toc532388156" w:history="1">
            <w:r w:rsidRPr="00BE39DC">
              <w:rPr>
                <w:rStyle w:val="Hyperlink"/>
                <w:rFonts w:ascii="Times New Roman" w:hAnsi="Times New Roman" w:cs="Times New Roman"/>
                <w:noProof/>
              </w:rPr>
              <w:t>Kapitulli 3.1: Opsioni asnjë ndryshim</w:t>
            </w:r>
            <w:r>
              <w:rPr>
                <w:noProof/>
                <w:webHidden/>
              </w:rPr>
              <w:tab/>
            </w:r>
            <w:r>
              <w:rPr>
                <w:noProof/>
                <w:webHidden/>
              </w:rPr>
              <w:fldChar w:fldCharType="begin"/>
            </w:r>
            <w:r>
              <w:rPr>
                <w:noProof/>
                <w:webHidden/>
              </w:rPr>
              <w:instrText xml:space="preserve"> PAGEREF _Toc532388156 \h </w:instrText>
            </w:r>
            <w:r>
              <w:rPr>
                <w:noProof/>
                <w:webHidden/>
              </w:rPr>
            </w:r>
            <w:r>
              <w:rPr>
                <w:noProof/>
                <w:webHidden/>
              </w:rPr>
              <w:fldChar w:fldCharType="separate"/>
            </w:r>
            <w:r>
              <w:rPr>
                <w:noProof/>
                <w:webHidden/>
              </w:rPr>
              <w:t>38</w:t>
            </w:r>
            <w:r>
              <w:rPr>
                <w:noProof/>
                <w:webHidden/>
              </w:rPr>
              <w:fldChar w:fldCharType="end"/>
            </w:r>
          </w:hyperlink>
        </w:p>
        <w:p w14:paraId="038F857C" w14:textId="77777777" w:rsidR="00341D3A" w:rsidRDefault="00341D3A">
          <w:pPr>
            <w:pStyle w:val="TOC2"/>
            <w:tabs>
              <w:tab w:val="right" w:leader="dot" w:pos="9350"/>
            </w:tabs>
            <w:rPr>
              <w:rFonts w:eastAsiaTheme="minorEastAsia"/>
              <w:noProof/>
              <w:lang w:val="en-US"/>
            </w:rPr>
          </w:pPr>
          <w:hyperlink w:anchor="_Toc532388157" w:history="1">
            <w:r w:rsidRPr="00BE39DC">
              <w:rPr>
                <w:rStyle w:val="Hyperlink"/>
                <w:rFonts w:ascii="Times New Roman" w:hAnsi="Times New Roman" w:cs="Times New Roman"/>
                <w:noProof/>
              </w:rPr>
              <w:t>Kapitulli 3.2: Opsioni për përmirësimin e zbatimit dhe ekzekutimit</w:t>
            </w:r>
            <w:r>
              <w:rPr>
                <w:noProof/>
                <w:webHidden/>
              </w:rPr>
              <w:tab/>
            </w:r>
            <w:r>
              <w:rPr>
                <w:noProof/>
                <w:webHidden/>
              </w:rPr>
              <w:fldChar w:fldCharType="begin"/>
            </w:r>
            <w:r>
              <w:rPr>
                <w:noProof/>
                <w:webHidden/>
              </w:rPr>
              <w:instrText xml:space="preserve"> PAGEREF _Toc532388157 \h </w:instrText>
            </w:r>
            <w:r>
              <w:rPr>
                <w:noProof/>
                <w:webHidden/>
              </w:rPr>
            </w:r>
            <w:r>
              <w:rPr>
                <w:noProof/>
                <w:webHidden/>
              </w:rPr>
              <w:fldChar w:fldCharType="separate"/>
            </w:r>
            <w:r>
              <w:rPr>
                <w:noProof/>
                <w:webHidden/>
              </w:rPr>
              <w:t>39</w:t>
            </w:r>
            <w:r>
              <w:rPr>
                <w:noProof/>
                <w:webHidden/>
              </w:rPr>
              <w:fldChar w:fldCharType="end"/>
            </w:r>
          </w:hyperlink>
        </w:p>
        <w:p w14:paraId="340085BE" w14:textId="77777777" w:rsidR="00341D3A" w:rsidRDefault="00341D3A">
          <w:pPr>
            <w:pStyle w:val="TOC2"/>
            <w:tabs>
              <w:tab w:val="right" w:leader="dot" w:pos="9350"/>
            </w:tabs>
            <w:rPr>
              <w:rFonts w:eastAsiaTheme="minorEastAsia"/>
              <w:noProof/>
              <w:lang w:val="en-US"/>
            </w:rPr>
          </w:pPr>
          <w:hyperlink w:anchor="_Toc532388158" w:history="1">
            <w:r w:rsidRPr="00BE39DC">
              <w:rPr>
                <w:rStyle w:val="Hyperlink"/>
                <w:rFonts w:ascii="Times New Roman" w:hAnsi="Times New Roman" w:cs="Times New Roman"/>
                <w:noProof/>
              </w:rPr>
              <w:t>Kapitulli 3.3: Opsioni i tretë për ngritjen e kapaciteteve profesionale të AKK</w:t>
            </w:r>
            <w:r>
              <w:rPr>
                <w:noProof/>
                <w:webHidden/>
              </w:rPr>
              <w:tab/>
            </w:r>
            <w:r>
              <w:rPr>
                <w:noProof/>
                <w:webHidden/>
              </w:rPr>
              <w:fldChar w:fldCharType="begin"/>
            </w:r>
            <w:r>
              <w:rPr>
                <w:noProof/>
                <w:webHidden/>
              </w:rPr>
              <w:instrText xml:space="preserve"> PAGEREF _Toc532388158 \h </w:instrText>
            </w:r>
            <w:r>
              <w:rPr>
                <w:noProof/>
                <w:webHidden/>
              </w:rPr>
            </w:r>
            <w:r>
              <w:rPr>
                <w:noProof/>
                <w:webHidden/>
              </w:rPr>
              <w:fldChar w:fldCharType="separate"/>
            </w:r>
            <w:r>
              <w:rPr>
                <w:noProof/>
                <w:webHidden/>
              </w:rPr>
              <w:t>43</w:t>
            </w:r>
            <w:r>
              <w:rPr>
                <w:noProof/>
                <w:webHidden/>
              </w:rPr>
              <w:fldChar w:fldCharType="end"/>
            </w:r>
          </w:hyperlink>
        </w:p>
        <w:p w14:paraId="13179D7F" w14:textId="77777777" w:rsidR="00341D3A" w:rsidRDefault="00341D3A">
          <w:pPr>
            <w:pStyle w:val="TOC1"/>
            <w:tabs>
              <w:tab w:val="right" w:leader="dot" w:pos="9350"/>
            </w:tabs>
            <w:rPr>
              <w:rFonts w:eastAsiaTheme="minorEastAsia"/>
              <w:noProof/>
              <w:lang w:val="en-US"/>
            </w:rPr>
          </w:pPr>
          <w:hyperlink w:anchor="_Toc532388159" w:history="1">
            <w:r w:rsidRPr="00BE39DC">
              <w:rPr>
                <w:rStyle w:val="Hyperlink"/>
                <w:rFonts w:ascii="Times New Roman" w:hAnsi="Times New Roman" w:cs="Times New Roman"/>
                <w:noProof/>
              </w:rPr>
              <w:t>Kapitulli 4: Identifikimi dhe vlerësimi i ndikimeve të ardhshme</w:t>
            </w:r>
            <w:r>
              <w:rPr>
                <w:noProof/>
                <w:webHidden/>
              </w:rPr>
              <w:tab/>
            </w:r>
            <w:r>
              <w:rPr>
                <w:noProof/>
                <w:webHidden/>
              </w:rPr>
              <w:fldChar w:fldCharType="begin"/>
            </w:r>
            <w:r>
              <w:rPr>
                <w:noProof/>
                <w:webHidden/>
              </w:rPr>
              <w:instrText xml:space="preserve"> PAGEREF _Toc532388159 \h </w:instrText>
            </w:r>
            <w:r>
              <w:rPr>
                <w:noProof/>
                <w:webHidden/>
              </w:rPr>
            </w:r>
            <w:r>
              <w:rPr>
                <w:noProof/>
                <w:webHidden/>
              </w:rPr>
              <w:fldChar w:fldCharType="separate"/>
            </w:r>
            <w:r>
              <w:rPr>
                <w:noProof/>
                <w:webHidden/>
              </w:rPr>
              <w:t>44</w:t>
            </w:r>
            <w:r>
              <w:rPr>
                <w:noProof/>
                <w:webHidden/>
              </w:rPr>
              <w:fldChar w:fldCharType="end"/>
            </w:r>
          </w:hyperlink>
        </w:p>
        <w:p w14:paraId="0C01D1F4" w14:textId="77777777" w:rsidR="00341D3A" w:rsidRDefault="00341D3A">
          <w:pPr>
            <w:pStyle w:val="TOC2"/>
            <w:tabs>
              <w:tab w:val="right" w:leader="dot" w:pos="9350"/>
            </w:tabs>
            <w:rPr>
              <w:rFonts w:eastAsiaTheme="minorEastAsia"/>
              <w:noProof/>
              <w:lang w:val="en-US"/>
            </w:rPr>
          </w:pPr>
          <w:hyperlink w:anchor="_Toc532388160" w:history="1">
            <w:r w:rsidRPr="00BE39DC">
              <w:rPr>
                <w:rStyle w:val="Hyperlink"/>
                <w:rFonts w:ascii="Times New Roman" w:hAnsi="Times New Roman" w:cs="Times New Roman"/>
                <w:noProof/>
              </w:rPr>
              <w:t>Kapitulli 4.1: Sfidat me mbledhjen e të dhënave</w:t>
            </w:r>
            <w:r>
              <w:rPr>
                <w:noProof/>
                <w:webHidden/>
              </w:rPr>
              <w:tab/>
            </w:r>
            <w:r>
              <w:rPr>
                <w:noProof/>
                <w:webHidden/>
              </w:rPr>
              <w:fldChar w:fldCharType="begin"/>
            </w:r>
            <w:r>
              <w:rPr>
                <w:noProof/>
                <w:webHidden/>
              </w:rPr>
              <w:instrText xml:space="preserve"> PAGEREF _Toc532388160 \h </w:instrText>
            </w:r>
            <w:r>
              <w:rPr>
                <w:noProof/>
                <w:webHidden/>
              </w:rPr>
            </w:r>
            <w:r>
              <w:rPr>
                <w:noProof/>
                <w:webHidden/>
              </w:rPr>
              <w:fldChar w:fldCharType="separate"/>
            </w:r>
            <w:r>
              <w:rPr>
                <w:noProof/>
                <w:webHidden/>
              </w:rPr>
              <w:t>46</w:t>
            </w:r>
            <w:r>
              <w:rPr>
                <w:noProof/>
                <w:webHidden/>
              </w:rPr>
              <w:fldChar w:fldCharType="end"/>
            </w:r>
          </w:hyperlink>
        </w:p>
        <w:p w14:paraId="3CE035B0" w14:textId="77777777" w:rsidR="00341D3A" w:rsidRDefault="00341D3A">
          <w:pPr>
            <w:pStyle w:val="TOC1"/>
            <w:tabs>
              <w:tab w:val="right" w:leader="dot" w:pos="9350"/>
            </w:tabs>
            <w:rPr>
              <w:rFonts w:eastAsiaTheme="minorEastAsia"/>
              <w:noProof/>
              <w:lang w:val="en-US"/>
            </w:rPr>
          </w:pPr>
          <w:hyperlink w:anchor="_Toc532388161" w:history="1">
            <w:r w:rsidRPr="00BE39DC">
              <w:rPr>
                <w:rStyle w:val="Hyperlink"/>
                <w:rFonts w:ascii="Times New Roman" w:hAnsi="Times New Roman" w:cs="Times New Roman"/>
                <w:noProof/>
              </w:rPr>
              <w:t>Kapitulli 5: Komunikimi dhe konsultimi</w:t>
            </w:r>
            <w:r>
              <w:rPr>
                <w:noProof/>
                <w:webHidden/>
              </w:rPr>
              <w:tab/>
            </w:r>
            <w:r>
              <w:rPr>
                <w:noProof/>
                <w:webHidden/>
              </w:rPr>
              <w:fldChar w:fldCharType="begin"/>
            </w:r>
            <w:r>
              <w:rPr>
                <w:noProof/>
                <w:webHidden/>
              </w:rPr>
              <w:instrText xml:space="preserve"> PAGEREF _Toc532388161 \h </w:instrText>
            </w:r>
            <w:r>
              <w:rPr>
                <w:noProof/>
                <w:webHidden/>
              </w:rPr>
            </w:r>
            <w:r>
              <w:rPr>
                <w:noProof/>
                <w:webHidden/>
              </w:rPr>
              <w:fldChar w:fldCharType="separate"/>
            </w:r>
            <w:r>
              <w:rPr>
                <w:noProof/>
                <w:webHidden/>
              </w:rPr>
              <w:t>46</w:t>
            </w:r>
            <w:r>
              <w:rPr>
                <w:noProof/>
                <w:webHidden/>
              </w:rPr>
              <w:fldChar w:fldCharType="end"/>
            </w:r>
          </w:hyperlink>
        </w:p>
        <w:p w14:paraId="007875B0" w14:textId="77777777" w:rsidR="00341D3A" w:rsidRDefault="00341D3A">
          <w:pPr>
            <w:pStyle w:val="TOC1"/>
            <w:tabs>
              <w:tab w:val="right" w:leader="dot" w:pos="9350"/>
            </w:tabs>
            <w:rPr>
              <w:rFonts w:eastAsiaTheme="minorEastAsia"/>
              <w:noProof/>
              <w:lang w:val="en-US"/>
            </w:rPr>
          </w:pPr>
          <w:hyperlink w:anchor="_Toc532388162" w:history="1">
            <w:r w:rsidRPr="00BE39DC">
              <w:rPr>
                <w:rStyle w:val="Hyperlink"/>
                <w:rFonts w:ascii="Times New Roman" w:hAnsi="Times New Roman" w:cs="Times New Roman"/>
                <w:noProof/>
              </w:rPr>
              <w:t>Kapitulli 6: Krahasimi i opsioneve</w:t>
            </w:r>
            <w:r>
              <w:rPr>
                <w:noProof/>
                <w:webHidden/>
              </w:rPr>
              <w:tab/>
            </w:r>
            <w:r>
              <w:rPr>
                <w:noProof/>
                <w:webHidden/>
              </w:rPr>
              <w:fldChar w:fldCharType="begin"/>
            </w:r>
            <w:r>
              <w:rPr>
                <w:noProof/>
                <w:webHidden/>
              </w:rPr>
              <w:instrText xml:space="preserve"> PAGEREF _Toc532388162 \h </w:instrText>
            </w:r>
            <w:r>
              <w:rPr>
                <w:noProof/>
                <w:webHidden/>
              </w:rPr>
            </w:r>
            <w:r>
              <w:rPr>
                <w:noProof/>
                <w:webHidden/>
              </w:rPr>
              <w:fldChar w:fldCharType="separate"/>
            </w:r>
            <w:r>
              <w:rPr>
                <w:noProof/>
                <w:webHidden/>
              </w:rPr>
              <w:t>47</w:t>
            </w:r>
            <w:r>
              <w:rPr>
                <w:noProof/>
                <w:webHidden/>
              </w:rPr>
              <w:fldChar w:fldCharType="end"/>
            </w:r>
          </w:hyperlink>
        </w:p>
        <w:p w14:paraId="28477EC3" w14:textId="77777777" w:rsidR="00341D3A" w:rsidRDefault="00341D3A">
          <w:pPr>
            <w:pStyle w:val="TOC2"/>
            <w:tabs>
              <w:tab w:val="right" w:leader="dot" w:pos="9350"/>
            </w:tabs>
            <w:rPr>
              <w:rFonts w:eastAsiaTheme="minorEastAsia"/>
              <w:noProof/>
              <w:lang w:val="en-US"/>
            </w:rPr>
          </w:pPr>
          <w:hyperlink w:anchor="_Toc532388163" w:history="1">
            <w:r w:rsidRPr="00BE39DC">
              <w:rPr>
                <w:rStyle w:val="Hyperlink"/>
                <w:rFonts w:ascii="Times New Roman" w:hAnsi="Times New Roman" w:cs="Times New Roman"/>
                <w:noProof/>
              </w:rPr>
              <w:t>Kapitulli 6.1: Planet e zbatimit për opsionet e ndryshme</w:t>
            </w:r>
            <w:r>
              <w:rPr>
                <w:noProof/>
                <w:webHidden/>
              </w:rPr>
              <w:tab/>
            </w:r>
            <w:r>
              <w:rPr>
                <w:noProof/>
                <w:webHidden/>
              </w:rPr>
              <w:fldChar w:fldCharType="begin"/>
            </w:r>
            <w:r>
              <w:rPr>
                <w:noProof/>
                <w:webHidden/>
              </w:rPr>
              <w:instrText xml:space="preserve"> PAGEREF _Toc532388163 \h </w:instrText>
            </w:r>
            <w:r>
              <w:rPr>
                <w:noProof/>
                <w:webHidden/>
              </w:rPr>
            </w:r>
            <w:r>
              <w:rPr>
                <w:noProof/>
                <w:webHidden/>
              </w:rPr>
              <w:fldChar w:fldCharType="separate"/>
            </w:r>
            <w:r>
              <w:rPr>
                <w:noProof/>
                <w:webHidden/>
              </w:rPr>
              <w:t>47</w:t>
            </w:r>
            <w:r>
              <w:rPr>
                <w:noProof/>
                <w:webHidden/>
              </w:rPr>
              <w:fldChar w:fldCharType="end"/>
            </w:r>
          </w:hyperlink>
        </w:p>
        <w:p w14:paraId="59D6BD8E" w14:textId="77777777" w:rsidR="00341D3A" w:rsidRDefault="00341D3A">
          <w:pPr>
            <w:pStyle w:val="TOC2"/>
            <w:tabs>
              <w:tab w:val="right" w:leader="dot" w:pos="9350"/>
            </w:tabs>
            <w:rPr>
              <w:rFonts w:eastAsiaTheme="minorEastAsia"/>
              <w:noProof/>
              <w:lang w:val="en-US"/>
            </w:rPr>
          </w:pPr>
          <w:hyperlink w:anchor="_Toc532388164" w:history="1">
            <w:r w:rsidRPr="00BE39DC">
              <w:rPr>
                <w:rStyle w:val="Hyperlink"/>
                <w:rFonts w:ascii="Times New Roman" w:hAnsi="Times New Roman" w:cs="Times New Roman"/>
                <w:noProof/>
              </w:rPr>
              <w:t>Kapitulli 6.2: Tabela e krahasimit me të tre opsionet</w:t>
            </w:r>
            <w:r>
              <w:rPr>
                <w:noProof/>
                <w:webHidden/>
              </w:rPr>
              <w:tab/>
            </w:r>
            <w:r>
              <w:rPr>
                <w:noProof/>
                <w:webHidden/>
              </w:rPr>
              <w:fldChar w:fldCharType="begin"/>
            </w:r>
            <w:r>
              <w:rPr>
                <w:noProof/>
                <w:webHidden/>
              </w:rPr>
              <w:instrText xml:space="preserve"> PAGEREF _Toc532388164 \h </w:instrText>
            </w:r>
            <w:r>
              <w:rPr>
                <w:noProof/>
                <w:webHidden/>
              </w:rPr>
            </w:r>
            <w:r>
              <w:rPr>
                <w:noProof/>
                <w:webHidden/>
              </w:rPr>
              <w:fldChar w:fldCharType="separate"/>
            </w:r>
            <w:r>
              <w:rPr>
                <w:noProof/>
                <w:webHidden/>
              </w:rPr>
              <w:t>52</w:t>
            </w:r>
            <w:r>
              <w:rPr>
                <w:noProof/>
                <w:webHidden/>
              </w:rPr>
              <w:fldChar w:fldCharType="end"/>
            </w:r>
          </w:hyperlink>
        </w:p>
        <w:p w14:paraId="1E32D734" w14:textId="77777777" w:rsidR="00341D3A" w:rsidRDefault="00341D3A">
          <w:pPr>
            <w:pStyle w:val="TOC1"/>
            <w:tabs>
              <w:tab w:val="right" w:leader="dot" w:pos="9350"/>
            </w:tabs>
            <w:rPr>
              <w:rFonts w:eastAsiaTheme="minorEastAsia"/>
              <w:noProof/>
              <w:lang w:val="en-US"/>
            </w:rPr>
          </w:pPr>
          <w:hyperlink w:anchor="_Toc532388165" w:history="1">
            <w:r w:rsidRPr="00BE39DC">
              <w:rPr>
                <w:rStyle w:val="Hyperlink"/>
                <w:rFonts w:ascii="Times New Roman" w:hAnsi="Times New Roman" w:cs="Times New Roman"/>
                <w:noProof/>
              </w:rPr>
              <w:t>Kapitulli 7: Konkluzionet dhe hapat e ardhshëm</w:t>
            </w:r>
            <w:r>
              <w:rPr>
                <w:noProof/>
                <w:webHidden/>
              </w:rPr>
              <w:tab/>
            </w:r>
            <w:r>
              <w:rPr>
                <w:noProof/>
                <w:webHidden/>
              </w:rPr>
              <w:fldChar w:fldCharType="begin"/>
            </w:r>
            <w:r>
              <w:rPr>
                <w:noProof/>
                <w:webHidden/>
              </w:rPr>
              <w:instrText xml:space="preserve"> PAGEREF _Toc532388165 \h </w:instrText>
            </w:r>
            <w:r>
              <w:rPr>
                <w:noProof/>
                <w:webHidden/>
              </w:rPr>
            </w:r>
            <w:r>
              <w:rPr>
                <w:noProof/>
                <w:webHidden/>
              </w:rPr>
              <w:fldChar w:fldCharType="separate"/>
            </w:r>
            <w:r>
              <w:rPr>
                <w:noProof/>
                <w:webHidden/>
              </w:rPr>
              <w:t>53</w:t>
            </w:r>
            <w:r>
              <w:rPr>
                <w:noProof/>
                <w:webHidden/>
              </w:rPr>
              <w:fldChar w:fldCharType="end"/>
            </w:r>
          </w:hyperlink>
        </w:p>
        <w:p w14:paraId="1F76A32F" w14:textId="77777777" w:rsidR="00341D3A" w:rsidRDefault="00341D3A">
          <w:pPr>
            <w:pStyle w:val="TOC2"/>
            <w:tabs>
              <w:tab w:val="right" w:leader="dot" w:pos="9350"/>
            </w:tabs>
            <w:rPr>
              <w:rFonts w:eastAsiaTheme="minorEastAsia"/>
              <w:noProof/>
              <w:lang w:val="en-US"/>
            </w:rPr>
          </w:pPr>
          <w:hyperlink w:anchor="_Toc532388166" w:history="1">
            <w:r w:rsidRPr="00BE39DC">
              <w:rPr>
                <w:rStyle w:val="Hyperlink"/>
                <w:rFonts w:ascii="Times New Roman" w:hAnsi="Times New Roman" w:cs="Times New Roman"/>
                <w:noProof/>
              </w:rPr>
              <w:t>Kapitulli 7.1: Dispozitat për monitorimin dhe vlerësimin</w:t>
            </w:r>
            <w:r>
              <w:rPr>
                <w:noProof/>
                <w:webHidden/>
              </w:rPr>
              <w:tab/>
            </w:r>
            <w:r>
              <w:rPr>
                <w:noProof/>
                <w:webHidden/>
              </w:rPr>
              <w:fldChar w:fldCharType="begin"/>
            </w:r>
            <w:r>
              <w:rPr>
                <w:noProof/>
                <w:webHidden/>
              </w:rPr>
              <w:instrText xml:space="preserve"> PAGEREF _Toc532388166 \h </w:instrText>
            </w:r>
            <w:r>
              <w:rPr>
                <w:noProof/>
                <w:webHidden/>
              </w:rPr>
            </w:r>
            <w:r>
              <w:rPr>
                <w:noProof/>
                <w:webHidden/>
              </w:rPr>
              <w:fldChar w:fldCharType="separate"/>
            </w:r>
            <w:r>
              <w:rPr>
                <w:noProof/>
                <w:webHidden/>
              </w:rPr>
              <w:t>54</w:t>
            </w:r>
            <w:r>
              <w:rPr>
                <w:noProof/>
                <w:webHidden/>
              </w:rPr>
              <w:fldChar w:fldCharType="end"/>
            </w:r>
          </w:hyperlink>
        </w:p>
        <w:p w14:paraId="255F0BE1" w14:textId="77777777" w:rsidR="00341D3A" w:rsidRDefault="00341D3A">
          <w:pPr>
            <w:pStyle w:val="TOC1"/>
            <w:tabs>
              <w:tab w:val="right" w:leader="dot" w:pos="9350"/>
            </w:tabs>
            <w:rPr>
              <w:rFonts w:eastAsiaTheme="minorEastAsia"/>
              <w:noProof/>
              <w:lang w:val="en-US"/>
            </w:rPr>
          </w:pPr>
          <w:hyperlink w:anchor="_Toc532388167" w:history="1">
            <w:r w:rsidRPr="00BE39DC">
              <w:rPr>
                <w:rStyle w:val="Hyperlink"/>
                <w:rFonts w:ascii="Times New Roman" w:hAnsi="Times New Roman" w:cs="Times New Roman"/>
                <w:noProof/>
              </w:rPr>
              <w:t>Shtojca 1: Forma e vlerësimit për ndikimin ekonomik</w:t>
            </w:r>
            <w:r>
              <w:rPr>
                <w:noProof/>
                <w:webHidden/>
              </w:rPr>
              <w:tab/>
            </w:r>
            <w:r>
              <w:rPr>
                <w:noProof/>
                <w:webHidden/>
              </w:rPr>
              <w:fldChar w:fldCharType="begin"/>
            </w:r>
            <w:r>
              <w:rPr>
                <w:noProof/>
                <w:webHidden/>
              </w:rPr>
              <w:instrText xml:space="preserve"> PAGEREF _Toc532388167 \h </w:instrText>
            </w:r>
            <w:r>
              <w:rPr>
                <w:noProof/>
                <w:webHidden/>
              </w:rPr>
            </w:r>
            <w:r>
              <w:rPr>
                <w:noProof/>
                <w:webHidden/>
              </w:rPr>
              <w:fldChar w:fldCharType="separate"/>
            </w:r>
            <w:r>
              <w:rPr>
                <w:noProof/>
                <w:webHidden/>
              </w:rPr>
              <w:t>55</w:t>
            </w:r>
            <w:r>
              <w:rPr>
                <w:noProof/>
                <w:webHidden/>
              </w:rPr>
              <w:fldChar w:fldCharType="end"/>
            </w:r>
          </w:hyperlink>
        </w:p>
        <w:p w14:paraId="4A578D5B" w14:textId="77777777" w:rsidR="00341D3A" w:rsidRDefault="00341D3A">
          <w:pPr>
            <w:pStyle w:val="TOC1"/>
            <w:tabs>
              <w:tab w:val="right" w:leader="dot" w:pos="9350"/>
            </w:tabs>
            <w:rPr>
              <w:rFonts w:eastAsiaTheme="minorEastAsia"/>
              <w:noProof/>
              <w:lang w:val="en-US"/>
            </w:rPr>
          </w:pPr>
          <w:hyperlink w:anchor="_Toc532388168" w:history="1">
            <w:r w:rsidRPr="00BE39DC">
              <w:rPr>
                <w:rStyle w:val="Hyperlink"/>
                <w:rFonts w:ascii="Times New Roman" w:hAnsi="Times New Roman" w:cs="Times New Roman"/>
                <w:noProof/>
              </w:rPr>
              <w:t>Shtojca 2: Forma e vlerësimit për ndikimet shoqërore</w:t>
            </w:r>
            <w:r>
              <w:rPr>
                <w:noProof/>
                <w:webHidden/>
              </w:rPr>
              <w:tab/>
            </w:r>
            <w:r>
              <w:rPr>
                <w:noProof/>
                <w:webHidden/>
              </w:rPr>
              <w:fldChar w:fldCharType="begin"/>
            </w:r>
            <w:r>
              <w:rPr>
                <w:noProof/>
                <w:webHidden/>
              </w:rPr>
              <w:instrText xml:space="preserve"> PAGEREF _Toc532388168 \h </w:instrText>
            </w:r>
            <w:r>
              <w:rPr>
                <w:noProof/>
                <w:webHidden/>
              </w:rPr>
            </w:r>
            <w:r>
              <w:rPr>
                <w:noProof/>
                <w:webHidden/>
              </w:rPr>
              <w:fldChar w:fldCharType="separate"/>
            </w:r>
            <w:r>
              <w:rPr>
                <w:noProof/>
                <w:webHidden/>
              </w:rPr>
              <w:t>61</w:t>
            </w:r>
            <w:r>
              <w:rPr>
                <w:noProof/>
                <w:webHidden/>
              </w:rPr>
              <w:fldChar w:fldCharType="end"/>
            </w:r>
          </w:hyperlink>
        </w:p>
        <w:p w14:paraId="1BD6B500" w14:textId="77777777" w:rsidR="00341D3A" w:rsidRDefault="00341D3A">
          <w:pPr>
            <w:pStyle w:val="TOC1"/>
            <w:tabs>
              <w:tab w:val="right" w:leader="dot" w:pos="9350"/>
            </w:tabs>
            <w:rPr>
              <w:rFonts w:eastAsiaTheme="minorEastAsia"/>
              <w:noProof/>
              <w:lang w:val="en-US"/>
            </w:rPr>
          </w:pPr>
          <w:hyperlink w:anchor="_Toc532388169" w:history="1">
            <w:r w:rsidRPr="00BE39DC">
              <w:rPr>
                <w:rStyle w:val="Hyperlink"/>
                <w:rFonts w:ascii="Times New Roman" w:hAnsi="Times New Roman" w:cs="Times New Roman"/>
                <w:noProof/>
              </w:rPr>
              <w:t>Shtojca 3: Forma e vlerësimit për ndikimet mjedisore</w:t>
            </w:r>
            <w:r>
              <w:rPr>
                <w:noProof/>
                <w:webHidden/>
              </w:rPr>
              <w:tab/>
            </w:r>
            <w:r>
              <w:rPr>
                <w:noProof/>
                <w:webHidden/>
              </w:rPr>
              <w:fldChar w:fldCharType="begin"/>
            </w:r>
            <w:r>
              <w:rPr>
                <w:noProof/>
                <w:webHidden/>
              </w:rPr>
              <w:instrText xml:space="preserve"> PAGEREF _Toc532388169 \h </w:instrText>
            </w:r>
            <w:r>
              <w:rPr>
                <w:noProof/>
                <w:webHidden/>
              </w:rPr>
            </w:r>
            <w:r>
              <w:rPr>
                <w:noProof/>
                <w:webHidden/>
              </w:rPr>
              <w:fldChar w:fldCharType="separate"/>
            </w:r>
            <w:r>
              <w:rPr>
                <w:noProof/>
                <w:webHidden/>
              </w:rPr>
              <w:t>65</w:t>
            </w:r>
            <w:r>
              <w:rPr>
                <w:noProof/>
                <w:webHidden/>
              </w:rPr>
              <w:fldChar w:fldCharType="end"/>
            </w:r>
          </w:hyperlink>
        </w:p>
        <w:p w14:paraId="16EA8BC8" w14:textId="77777777" w:rsidR="00341D3A" w:rsidRDefault="00341D3A">
          <w:pPr>
            <w:pStyle w:val="TOC1"/>
            <w:tabs>
              <w:tab w:val="right" w:leader="dot" w:pos="9350"/>
            </w:tabs>
            <w:rPr>
              <w:rFonts w:eastAsiaTheme="minorEastAsia"/>
              <w:noProof/>
              <w:lang w:val="en-US"/>
            </w:rPr>
          </w:pPr>
          <w:hyperlink w:anchor="_Toc532388170" w:history="1">
            <w:r w:rsidRPr="00BE39DC">
              <w:rPr>
                <w:rStyle w:val="Hyperlink"/>
                <w:rFonts w:ascii="Times New Roman" w:hAnsi="Times New Roman" w:cs="Times New Roman"/>
                <w:noProof/>
              </w:rPr>
              <w:t>Shtojca 4: Forma e vlerësimit për ndikimin e të drejtave themelore</w:t>
            </w:r>
            <w:r>
              <w:rPr>
                <w:noProof/>
                <w:webHidden/>
              </w:rPr>
              <w:tab/>
            </w:r>
            <w:r>
              <w:rPr>
                <w:noProof/>
                <w:webHidden/>
              </w:rPr>
              <w:fldChar w:fldCharType="begin"/>
            </w:r>
            <w:r>
              <w:rPr>
                <w:noProof/>
                <w:webHidden/>
              </w:rPr>
              <w:instrText xml:space="preserve"> PAGEREF _Toc532388170 \h </w:instrText>
            </w:r>
            <w:r>
              <w:rPr>
                <w:noProof/>
                <w:webHidden/>
              </w:rPr>
            </w:r>
            <w:r>
              <w:rPr>
                <w:noProof/>
                <w:webHidden/>
              </w:rPr>
              <w:fldChar w:fldCharType="separate"/>
            </w:r>
            <w:r>
              <w:rPr>
                <w:noProof/>
                <w:webHidden/>
              </w:rPr>
              <w:t>67</w:t>
            </w:r>
            <w:r>
              <w:rPr>
                <w:noProof/>
                <w:webHidden/>
              </w:rPr>
              <w:fldChar w:fldCharType="end"/>
            </w:r>
          </w:hyperlink>
        </w:p>
        <w:p w14:paraId="2083D509" w14:textId="77777777" w:rsidR="00A61B6E" w:rsidRPr="000D3717" w:rsidRDefault="0064305F">
          <w:pPr>
            <w:rPr>
              <w:rFonts w:ascii="Times New Roman" w:hAnsi="Times New Roman" w:cs="Times New Roman"/>
              <w:sz w:val="24"/>
              <w:szCs w:val="24"/>
            </w:rPr>
          </w:pPr>
          <w:r w:rsidRPr="000D3717">
            <w:rPr>
              <w:rFonts w:ascii="Times New Roman" w:hAnsi="Times New Roman" w:cs="Times New Roman"/>
              <w:b/>
              <w:bCs/>
              <w:sz w:val="24"/>
              <w:szCs w:val="24"/>
            </w:rPr>
            <w:fldChar w:fldCharType="end"/>
          </w:r>
        </w:p>
      </w:sdtContent>
    </w:sdt>
    <w:p w14:paraId="7C907CCD" w14:textId="77777777" w:rsidR="00A22B1A" w:rsidRPr="000D3717" w:rsidRDefault="00A22B1A">
      <w:pPr>
        <w:rPr>
          <w:rFonts w:ascii="Times New Roman" w:hAnsi="Times New Roman" w:cs="Times New Roman"/>
          <w:sz w:val="24"/>
          <w:szCs w:val="24"/>
        </w:rPr>
      </w:pPr>
      <w:r w:rsidRPr="000D3717">
        <w:rPr>
          <w:rFonts w:ascii="Times New Roman" w:hAnsi="Times New Roman" w:cs="Times New Roman"/>
          <w:sz w:val="24"/>
          <w:szCs w:val="24"/>
        </w:rPr>
        <w:br w:type="page"/>
      </w:r>
    </w:p>
    <w:tbl>
      <w:tblPr>
        <w:tblStyle w:val="TableGrid"/>
        <w:tblW w:w="9895" w:type="dxa"/>
        <w:tblLook w:val="04A0" w:firstRow="1" w:lastRow="0" w:firstColumn="1" w:lastColumn="0" w:noHBand="0" w:noVBand="1"/>
      </w:tblPr>
      <w:tblGrid>
        <w:gridCol w:w="1795"/>
        <w:gridCol w:w="8100"/>
      </w:tblGrid>
      <w:tr w:rsidR="00C966E4" w:rsidRPr="000D3717" w14:paraId="760ADEEF" w14:textId="77777777" w:rsidTr="008D7069">
        <w:tc>
          <w:tcPr>
            <w:tcW w:w="9895" w:type="dxa"/>
            <w:gridSpan w:val="2"/>
          </w:tcPr>
          <w:p w14:paraId="4E10D010" w14:textId="77777777" w:rsidR="00C966E4" w:rsidRPr="000D3717" w:rsidRDefault="00C13D3C" w:rsidP="00937A2C">
            <w:pPr>
              <w:rPr>
                <w:rFonts w:ascii="Times New Roman" w:hAnsi="Times New Roman" w:cs="Times New Roman"/>
                <w:b/>
                <w:sz w:val="24"/>
                <w:szCs w:val="24"/>
              </w:rPr>
            </w:pPr>
            <w:r w:rsidRPr="000D3717">
              <w:rPr>
                <w:rFonts w:ascii="Times New Roman" w:hAnsi="Times New Roman" w:cs="Times New Roman"/>
                <w:b/>
                <w:sz w:val="24"/>
                <w:szCs w:val="24"/>
              </w:rPr>
              <w:lastRenderedPageBreak/>
              <w:t>Informacion</w:t>
            </w:r>
            <w:r w:rsidR="00937A2C" w:rsidRPr="000D3717">
              <w:rPr>
                <w:rFonts w:ascii="Times New Roman" w:hAnsi="Times New Roman" w:cs="Times New Roman"/>
                <w:b/>
                <w:sz w:val="24"/>
                <w:szCs w:val="24"/>
              </w:rPr>
              <w:t>et e</w:t>
            </w:r>
            <w:r w:rsidRPr="000D3717">
              <w:rPr>
                <w:rFonts w:ascii="Times New Roman" w:hAnsi="Times New Roman" w:cs="Times New Roman"/>
                <w:b/>
                <w:sz w:val="24"/>
                <w:szCs w:val="24"/>
              </w:rPr>
              <w:t xml:space="preserve"> përgjithshm</w:t>
            </w:r>
            <w:r w:rsidR="00937A2C" w:rsidRPr="000D3717">
              <w:rPr>
                <w:rFonts w:ascii="Times New Roman" w:hAnsi="Times New Roman" w:cs="Times New Roman"/>
                <w:b/>
                <w:sz w:val="24"/>
                <w:szCs w:val="24"/>
              </w:rPr>
              <w:t>e</w:t>
            </w:r>
          </w:p>
        </w:tc>
      </w:tr>
      <w:tr w:rsidR="00C966E4" w:rsidRPr="000D3717" w14:paraId="32186AF8" w14:textId="77777777" w:rsidTr="008D7069">
        <w:tc>
          <w:tcPr>
            <w:tcW w:w="1795" w:type="dxa"/>
          </w:tcPr>
          <w:p w14:paraId="1A1770F6"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Titulli</w:t>
            </w:r>
          </w:p>
        </w:tc>
        <w:tc>
          <w:tcPr>
            <w:tcW w:w="8100" w:type="dxa"/>
          </w:tcPr>
          <w:p w14:paraId="105543D8" w14:textId="77777777" w:rsidR="00C966E4" w:rsidRPr="000D3717" w:rsidRDefault="00C0306A" w:rsidP="008D7069">
            <w:pPr>
              <w:rPr>
                <w:rFonts w:ascii="Times New Roman" w:hAnsi="Times New Roman" w:cs="Times New Roman"/>
                <w:b/>
                <w:sz w:val="24"/>
                <w:szCs w:val="24"/>
              </w:rPr>
            </w:pPr>
            <w:r w:rsidRPr="000D3717">
              <w:rPr>
                <w:rFonts w:ascii="Times New Roman" w:hAnsi="Times New Roman" w:cs="Times New Roman"/>
                <w:b/>
                <w:sz w:val="24"/>
                <w:szCs w:val="24"/>
              </w:rPr>
              <w:t>Koncept Dokumenti në</w:t>
            </w:r>
            <w:r w:rsidR="00440A4F" w:rsidRPr="000D3717">
              <w:rPr>
                <w:rFonts w:ascii="Times New Roman" w:hAnsi="Times New Roman" w:cs="Times New Roman"/>
                <w:b/>
                <w:sz w:val="24"/>
                <w:szCs w:val="24"/>
              </w:rPr>
              <w:t xml:space="preserve"> </w:t>
            </w:r>
            <w:r w:rsidRPr="000D3717">
              <w:rPr>
                <w:rFonts w:ascii="Times New Roman" w:hAnsi="Times New Roman" w:cs="Times New Roman"/>
                <w:b/>
                <w:sz w:val="24"/>
                <w:szCs w:val="24"/>
              </w:rPr>
              <w:t>fushën</w:t>
            </w:r>
            <w:r w:rsidR="00440A4F" w:rsidRPr="000D3717">
              <w:rPr>
                <w:rFonts w:ascii="Times New Roman" w:hAnsi="Times New Roman" w:cs="Times New Roman"/>
                <w:b/>
                <w:sz w:val="24"/>
                <w:szCs w:val="24"/>
              </w:rPr>
              <w:t xml:space="preserve"> e </w:t>
            </w:r>
            <w:r w:rsidRPr="000D3717">
              <w:rPr>
                <w:rFonts w:ascii="Times New Roman" w:hAnsi="Times New Roman" w:cs="Times New Roman"/>
                <w:b/>
                <w:sz w:val="24"/>
                <w:szCs w:val="24"/>
              </w:rPr>
              <w:t>Konkurrencës</w:t>
            </w:r>
          </w:p>
        </w:tc>
      </w:tr>
      <w:tr w:rsidR="00C966E4" w:rsidRPr="000D3717" w14:paraId="1326CDCE" w14:textId="77777777" w:rsidTr="008D7069">
        <w:tc>
          <w:tcPr>
            <w:tcW w:w="1795" w:type="dxa"/>
          </w:tcPr>
          <w:p w14:paraId="6DCC7A17"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Ministria bartëse</w:t>
            </w:r>
          </w:p>
        </w:tc>
        <w:tc>
          <w:tcPr>
            <w:tcW w:w="8100" w:type="dxa"/>
          </w:tcPr>
          <w:p w14:paraId="5874C7EE" w14:textId="77777777" w:rsidR="00C966E4" w:rsidRPr="000D3717" w:rsidRDefault="00272062" w:rsidP="005949DF">
            <w:pPr>
              <w:rPr>
                <w:rFonts w:ascii="Times New Roman" w:hAnsi="Times New Roman" w:cs="Times New Roman"/>
                <w:b/>
                <w:sz w:val="24"/>
                <w:szCs w:val="24"/>
              </w:rPr>
            </w:pPr>
            <w:r w:rsidRPr="000D3717">
              <w:rPr>
                <w:rFonts w:ascii="Times New Roman" w:hAnsi="Times New Roman" w:cs="Times New Roman"/>
                <w:b/>
                <w:sz w:val="24"/>
                <w:szCs w:val="24"/>
              </w:rPr>
              <w:t xml:space="preserve">Ministria e </w:t>
            </w:r>
            <w:r w:rsidR="00C0306A" w:rsidRPr="000D3717">
              <w:rPr>
                <w:rFonts w:ascii="Times New Roman" w:hAnsi="Times New Roman" w:cs="Times New Roman"/>
                <w:b/>
                <w:sz w:val="24"/>
                <w:szCs w:val="24"/>
              </w:rPr>
              <w:t>Tregtisë</w:t>
            </w:r>
            <w:r w:rsidRPr="000D3717">
              <w:rPr>
                <w:rFonts w:ascii="Times New Roman" w:hAnsi="Times New Roman" w:cs="Times New Roman"/>
                <w:b/>
                <w:sz w:val="24"/>
                <w:szCs w:val="24"/>
              </w:rPr>
              <w:t xml:space="preserve"> dhe </w:t>
            </w:r>
            <w:r w:rsidR="00C0306A" w:rsidRPr="000D3717">
              <w:rPr>
                <w:rFonts w:ascii="Times New Roman" w:hAnsi="Times New Roman" w:cs="Times New Roman"/>
                <w:b/>
                <w:sz w:val="24"/>
                <w:szCs w:val="24"/>
              </w:rPr>
              <w:t>Industrisë</w:t>
            </w:r>
          </w:p>
        </w:tc>
      </w:tr>
      <w:tr w:rsidR="00C966E4" w:rsidRPr="000D3717" w14:paraId="3E642C0D" w14:textId="77777777" w:rsidTr="008D7069">
        <w:tc>
          <w:tcPr>
            <w:tcW w:w="1795" w:type="dxa"/>
          </w:tcPr>
          <w:p w14:paraId="52B2113B"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Personi kontaktues</w:t>
            </w:r>
          </w:p>
        </w:tc>
        <w:tc>
          <w:tcPr>
            <w:tcW w:w="8100" w:type="dxa"/>
          </w:tcPr>
          <w:p w14:paraId="144BE385" w14:textId="066086CE" w:rsidR="00C966E4" w:rsidRPr="000D3717" w:rsidRDefault="00272062" w:rsidP="005949DF">
            <w:pPr>
              <w:rPr>
                <w:rFonts w:ascii="Times New Roman" w:hAnsi="Times New Roman" w:cs="Times New Roman"/>
                <w:b/>
                <w:sz w:val="24"/>
                <w:szCs w:val="24"/>
              </w:rPr>
            </w:pPr>
            <w:r w:rsidRPr="000D3717">
              <w:rPr>
                <w:rFonts w:ascii="Times New Roman" w:hAnsi="Times New Roman" w:cs="Times New Roman"/>
                <w:b/>
                <w:sz w:val="24"/>
                <w:szCs w:val="24"/>
              </w:rPr>
              <w:t xml:space="preserve">Bleron Menzelxhiu, </w:t>
            </w:r>
            <w:r w:rsidR="00AA1ECC" w:rsidRPr="000D3717">
              <w:rPr>
                <w:rFonts w:ascii="Times New Roman" w:hAnsi="Times New Roman" w:cs="Times New Roman"/>
                <w:b/>
                <w:sz w:val="24"/>
                <w:szCs w:val="24"/>
              </w:rPr>
              <w:t>Udhëheqës</w:t>
            </w:r>
            <w:r w:rsidRPr="000D3717">
              <w:rPr>
                <w:rFonts w:ascii="Times New Roman" w:hAnsi="Times New Roman" w:cs="Times New Roman"/>
                <w:b/>
                <w:sz w:val="24"/>
                <w:szCs w:val="24"/>
              </w:rPr>
              <w:t xml:space="preserve"> i Divizionit </w:t>
            </w:r>
            <w:r w:rsidR="00AA1ECC" w:rsidRPr="000D3717">
              <w:rPr>
                <w:rFonts w:ascii="Times New Roman" w:hAnsi="Times New Roman" w:cs="Times New Roman"/>
                <w:b/>
                <w:sz w:val="24"/>
                <w:szCs w:val="24"/>
              </w:rPr>
              <w:t>për</w:t>
            </w:r>
            <w:r w:rsidRPr="000D3717">
              <w:rPr>
                <w:rFonts w:ascii="Times New Roman" w:hAnsi="Times New Roman" w:cs="Times New Roman"/>
                <w:b/>
                <w:sz w:val="24"/>
                <w:szCs w:val="24"/>
              </w:rPr>
              <w:t xml:space="preserve"> Koordinim</w:t>
            </w:r>
            <w:r w:rsidR="008753CB">
              <w:rPr>
                <w:rFonts w:ascii="Times New Roman" w:hAnsi="Times New Roman" w:cs="Times New Roman"/>
                <w:b/>
                <w:sz w:val="24"/>
                <w:szCs w:val="24"/>
              </w:rPr>
              <w:t xml:space="preserve"> të </w:t>
            </w:r>
            <w:r w:rsidRPr="000D3717">
              <w:rPr>
                <w:rFonts w:ascii="Times New Roman" w:hAnsi="Times New Roman" w:cs="Times New Roman"/>
                <w:b/>
                <w:sz w:val="24"/>
                <w:szCs w:val="24"/>
              </w:rPr>
              <w:t>Politikave n</w:t>
            </w:r>
            <w:r w:rsidR="00806A74">
              <w:rPr>
                <w:rFonts w:ascii="Times New Roman" w:hAnsi="Times New Roman" w:cs="Times New Roman"/>
                <w:b/>
                <w:sz w:val="24"/>
                <w:szCs w:val="24"/>
              </w:rPr>
              <w:t>ë</w:t>
            </w:r>
            <w:r w:rsidRPr="000D3717">
              <w:rPr>
                <w:rFonts w:ascii="Times New Roman" w:hAnsi="Times New Roman" w:cs="Times New Roman"/>
                <w:b/>
                <w:sz w:val="24"/>
                <w:szCs w:val="24"/>
              </w:rPr>
              <w:t xml:space="preserve"> Departamentin e Integrimeve Evropiane dhe Koordinim</w:t>
            </w:r>
            <w:r w:rsidR="008753CB">
              <w:rPr>
                <w:rFonts w:ascii="Times New Roman" w:hAnsi="Times New Roman" w:cs="Times New Roman"/>
                <w:b/>
                <w:sz w:val="24"/>
                <w:szCs w:val="24"/>
              </w:rPr>
              <w:t xml:space="preserve"> të </w:t>
            </w:r>
            <w:r w:rsidRPr="000D3717">
              <w:rPr>
                <w:rFonts w:ascii="Times New Roman" w:hAnsi="Times New Roman" w:cs="Times New Roman"/>
                <w:b/>
                <w:sz w:val="24"/>
                <w:szCs w:val="24"/>
              </w:rPr>
              <w:t>Politikave; bleron.menzelxhiu@rks-gov.net</w:t>
            </w:r>
          </w:p>
        </w:tc>
      </w:tr>
      <w:tr w:rsidR="00C966E4" w:rsidRPr="000D3717" w14:paraId="046DD3AE" w14:textId="77777777" w:rsidTr="008D7069">
        <w:tc>
          <w:tcPr>
            <w:tcW w:w="1795" w:type="dxa"/>
          </w:tcPr>
          <w:p w14:paraId="23FAB42F"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PVPQ</w:t>
            </w:r>
          </w:p>
        </w:tc>
        <w:tc>
          <w:tcPr>
            <w:tcW w:w="8100" w:type="dxa"/>
          </w:tcPr>
          <w:p w14:paraId="63DF3129" w14:textId="2DE04ACD" w:rsidR="00C966E4" w:rsidRPr="000D3717" w:rsidRDefault="00C0306A" w:rsidP="001907D7">
            <w:pPr>
              <w:rPr>
                <w:rFonts w:ascii="Times New Roman" w:hAnsi="Times New Roman" w:cs="Times New Roman"/>
                <w:b/>
                <w:sz w:val="24"/>
                <w:szCs w:val="24"/>
              </w:rPr>
            </w:pPr>
            <w:r w:rsidRPr="000D3717">
              <w:rPr>
                <w:rFonts w:ascii="Times New Roman" w:hAnsi="Times New Roman" w:cs="Times New Roman"/>
                <w:b/>
                <w:sz w:val="24"/>
                <w:szCs w:val="24"/>
              </w:rPr>
              <w:t xml:space="preserve">Nuk </w:t>
            </w:r>
            <w:r w:rsidR="0086590D" w:rsidRPr="000D3717">
              <w:rPr>
                <w:rFonts w:ascii="Times New Roman" w:hAnsi="Times New Roman" w:cs="Times New Roman"/>
                <w:b/>
                <w:sz w:val="24"/>
                <w:szCs w:val="24"/>
              </w:rPr>
              <w:t>ndërlidhet</w:t>
            </w:r>
            <w:r w:rsidRPr="000D3717">
              <w:rPr>
                <w:rFonts w:ascii="Times New Roman" w:hAnsi="Times New Roman" w:cs="Times New Roman"/>
                <w:b/>
                <w:sz w:val="24"/>
                <w:szCs w:val="24"/>
              </w:rPr>
              <w:t xml:space="preserve"> me ndonjë obligi</w:t>
            </w:r>
            <w:r w:rsidR="0086590D" w:rsidRPr="000D3717">
              <w:rPr>
                <w:rFonts w:ascii="Times New Roman" w:hAnsi="Times New Roman" w:cs="Times New Roman"/>
                <w:b/>
                <w:sz w:val="24"/>
                <w:szCs w:val="24"/>
              </w:rPr>
              <w:t>m specifik në PVPQ, por</w:t>
            </w:r>
            <w:r w:rsidR="008E2877" w:rsidRPr="000D3717">
              <w:rPr>
                <w:rFonts w:ascii="Times New Roman" w:hAnsi="Times New Roman" w:cs="Times New Roman"/>
                <w:b/>
                <w:sz w:val="24"/>
                <w:szCs w:val="24"/>
              </w:rPr>
              <w:t xml:space="preserve"> është pjes</w:t>
            </w:r>
            <w:r w:rsidR="00806A74">
              <w:rPr>
                <w:rFonts w:ascii="Times New Roman" w:hAnsi="Times New Roman" w:cs="Times New Roman"/>
                <w:b/>
                <w:sz w:val="24"/>
                <w:szCs w:val="24"/>
              </w:rPr>
              <w:t>ë</w:t>
            </w:r>
            <w:r w:rsidR="008E2877" w:rsidRPr="000D3717">
              <w:rPr>
                <w:rFonts w:ascii="Times New Roman" w:hAnsi="Times New Roman" w:cs="Times New Roman"/>
                <w:b/>
                <w:sz w:val="24"/>
                <w:szCs w:val="24"/>
              </w:rPr>
              <w:t xml:space="preserve"> e listës s</w:t>
            </w:r>
            <w:r w:rsidR="00806A74">
              <w:rPr>
                <w:rFonts w:ascii="Times New Roman" w:hAnsi="Times New Roman" w:cs="Times New Roman"/>
                <w:b/>
                <w:sz w:val="24"/>
                <w:szCs w:val="24"/>
              </w:rPr>
              <w:t>ë</w:t>
            </w:r>
            <w:r w:rsidR="008E2877" w:rsidRPr="000D3717">
              <w:rPr>
                <w:rFonts w:ascii="Times New Roman" w:hAnsi="Times New Roman" w:cs="Times New Roman"/>
                <w:b/>
                <w:sz w:val="24"/>
                <w:szCs w:val="24"/>
              </w:rPr>
              <w:t xml:space="preserve"> Koncept Dokumenteve për vitin 2018 si dhe</w:t>
            </w:r>
            <w:r w:rsidR="0086590D" w:rsidRPr="000D3717">
              <w:rPr>
                <w:rFonts w:ascii="Times New Roman" w:hAnsi="Times New Roman" w:cs="Times New Roman"/>
                <w:b/>
                <w:sz w:val="24"/>
                <w:szCs w:val="24"/>
              </w:rPr>
              <w:t xml:space="preserve"> në</w:t>
            </w:r>
            <w:r w:rsidRPr="000D3717">
              <w:rPr>
                <w:rFonts w:ascii="Times New Roman" w:hAnsi="Times New Roman" w:cs="Times New Roman"/>
                <w:b/>
                <w:sz w:val="24"/>
                <w:szCs w:val="24"/>
              </w:rPr>
              <w:t xml:space="preserve"> </w:t>
            </w:r>
            <w:r w:rsidR="0086590D" w:rsidRPr="000D3717">
              <w:rPr>
                <w:rFonts w:ascii="Times New Roman" w:hAnsi="Times New Roman" w:cs="Times New Roman"/>
                <w:b/>
                <w:sz w:val="24"/>
                <w:szCs w:val="24"/>
              </w:rPr>
              <w:t>mënyrë</w:t>
            </w:r>
            <w:r w:rsidRPr="000D3717">
              <w:rPr>
                <w:rFonts w:ascii="Times New Roman" w:hAnsi="Times New Roman" w:cs="Times New Roman"/>
                <w:b/>
                <w:sz w:val="24"/>
                <w:szCs w:val="24"/>
              </w:rPr>
              <w:t xml:space="preserve"> indirekte nd</w:t>
            </w:r>
            <w:r w:rsidR="0086590D" w:rsidRPr="000D3717">
              <w:rPr>
                <w:rFonts w:ascii="Times New Roman" w:hAnsi="Times New Roman" w:cs="Times New Roman"/>
                <w:b/>
                <w:sz w:val="24"/>
                <w:szCs w:val="24"/>
              </w:rPr>
              <w:t>ihmon në</w:t>
            </w:r>
            <w:r w:rsidRPr="000D3717">
              <w:rPr>
                <w:rFonts w:ascii="Times New Roman" w:hAnsi="Times New Roman" w:cs="Times New Roman"/>
                <w:b/>
                <w:sz w:val="24"/>
                <w:szCs w:val="24"/>
              </w:rPr>
              <w:t xml:space="preserve"> përmbushjen e </w:t>
            </w:r>
            <w:r w:rsidR="0086590D" w:rsidRPr="000D3717">
              <w:rPr>
                <w:rFonts w:ascii="Times New Roman" w:hAnsi="Times New Roman" w:cs="Times New Roman"/>
                <w:b/>
                <w:sz w:val="24"/>
                <w:szCs w:val="24"/>
              </w:rPr>
              <w:t>veprimeve që ndërlidhen</w:t>
            </w:r>
            <w:r w:rsidR="001907D7" w:rsidRPr="000D3717">
              <w:rPr>
                <w:rFonts w:ascii="Times New Roman" w:hAnsi="Times New Roman" w:cs="Times New Roman"/>
                <w:b/>
                <w:sz w:val="24"/>
                <w:szCs w:val="24"/>
              </w:rPr>
              <w:t xml:space="preserve"> me </w:t>
            </w:r>
            <w:r w:rsidR="0086590D" w:rsidRPr="000D3717">
              <w:rPr>
                <w:rFonts w:ascii="Times New Roman" w:hAnsi="Times New Roman" w:cs="Times New Roman"/>
                <w:b/>
                <w:sz w:val="24"/>
                <w:szCs w:val="24"/>
              </w:rPr>
              <w:t>zhvillimin e afarizmi</w:t>
            </w:r>
            <w:r w:rsidR="00E01D85" w:rsidRPr="000D3717">
              <w:rPr>
                <w:rFonts w:ascii="Times New Roman" w:hAnsi="Times New Roman" w:cs="Times New Roman"/>
                <w:b/>
                <w:sz w:val="24"/>
                <w:szCs w:val="24"/>
              </w:rPr>
              <w:t>t</w:t>
            </w:r>
            <w:r w:rsidR="0086590D" w:rsidRPr="000D3717">
              <w:rPr>
                <w:rFonts w:ascii="Times New Roman" w:hAnsi="Times New Roman" w:cs="Times New Roman"/>
                <w:b/>
                <w:sz w:val="24"/>
                <w:szCs w:val="24"/>
              </w:rPr>
              <w:t xml:space="preserve"> dhe tregu</w:t>
            </w:r>
            <w:r w:rsidR="00D75A58">
              <w:rPr>
                <w:rFonts w:ascii="Times New Roman" w:hAnsi="Times New Roman" w:cs="Times New Roman"/>
                <w:b/>
                <w:sz w:val="24"/>
                <w:szCs w:val="24"/>
              </w:rPr>
              <w:t>n</w:t>
            </w:r>
            <w:r w:rsidR="0086590D" w:rsidRPr="000D3717">
              <w:rPr>
                <w:rFonts w:ascii="Times New Roman" w:hAnsi="Times New Roman" w:cs="Times New Roman"/>
                <w:b/>
                <w:sz w:val="24"/>
                <w:szCs w:val="24"/>
              </w:rPr>
              <w:t xml:space="preserve"> </w:t>
            </w:r>
            <w:r w:rsidR="00D75A58">
              <w:rPr>
                <w:rFonts w:ascii="Times New Roman" w:hAnsi="Times New Roman" w:cs="Times New Roman"/>
                <w:b/>
                <w:sz w:val="24"/>
                <w:szCs w:val="24"/>
              </w:rPr>
              <w:t>e</w:t>
            </w:r>
            <w:r w:rsidR="008420CE">
              <w:rPr>
                <w:rFonts w:ascii="Times New Roman" w:hAnsi="Times New Roman" w:cs="Times New Roman"/>
                <w:b/>
                <w:sz w:val="24"/>
                <w:szCs w:val="24"/>
              </w:rPr>
              <w:t xml:space="preserve"> i</w:t>
            </w:r>
            <w:r w:rsidR="0086590D" w:rsidRPr="000D3717">
              <w:rPr>
                <w:rFonts w:ascii="Times New Roman" w:hAnsi="Times New Roman" w:cs="Times New Roman"/>
                <w:b/>
                <w:sz w:val="24"/>
                <w:szCs w:val="24"/>
              </w:rPr>
              <w:t xml:space="preserve"> lir</w:t>
            </w:r>
            <w:r w:rsidR="00D75A58">
              <w:rPr>
                <w:rFonts w:ascii="Times New Roman" w:hAnsi="Times New Roman" w:cs="Times New Roman"/>
                <w:b/>
                <w:sz w:val="24"/>
                <w:szCs w:val="24"/>
              </w:rPr>
              <w:t>ë</w:t>
            </w:r>
            <w:r w:rsidR="0086590D" w:rsidRPr="000D3717">
              <w:rPr>
                <w:rFonts w:ascii="Times New Roman" w:hAnsi="Times New Roman" w:cs="Times New Roman"/>
                <w:b/>
                <w:sz w:val="24"/>
                <w:szCs w:val="24"/>
              </w:rPr>
              <w:t xml:space="preserve">. </w:t>
            </w:r>
          </w:p>
        </w:tc>
      </w:tr>
      <w:tr w:rsidR="00C966E4" w:rsidRPr="000D3717" w14:paraId="6F583DFA" w14:textId="77777777" w:rsidTr="008D7069">
        <w:tc>
          <w:tcPr>
            <w:tcW w:w="1795" w:type="dxa"/>
          </w:tcPr>
          <w:p w14:paraId="045E6F44"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Prioriteti strategjik</w:t>
            </w:r>
          </w:p>
        </w:tc>
        <w:tc>
          <w:tcPr>
            <w:tcW w:w="8100" w:type="dxa"/>
          </w:tcPr>
          <w:p w14:paraId="35DF27E5" w14:textId="77777777" w:rsidR="008B0AF8" w:rsidRPr="000D3717" w:rsidRDefault="008B0AF8" w:rsidP="008B0AF8">
            <w:pPr>
              <w:pStyle w:val="ListParagraph"/>
              <w:numPr>
                <w:ilvl w:val="0"/>
                <w:numId w:val="2"/>
              </w:numPr>
              <w:rPr>
                <w:rFonts w:ascii="Times New Roman" w:hAnsi="Times New Roman" w:cs="Times New Roman"/>
                <w:b/>
                <w:sz w:val="24"/>
                <w:szCs w:val="24"/>
              </w:rPr>
            </w:pPr>
            <w:r w:rsidRPr="000D3717">
              <w:rPr>
                <w:rFonts w:ascii="Times New Roman" w:hAnsi="Times New Roman" w:cs="Times New Roman"/>
                <w:b/>
                <w:sz w:val="24"/>
                <w:szCs w:val="24"/>
              </w:rPr>
              <w:t>Strategjia Kombëtare për Zhvillim 2016-2021 (Shtylla 2, Shtylla 3)</w:t>
            </w:r>
          </w:p>
          <w:p w14:paraId="4D0A4BC4" w14:textId="77777777" w:rsidR="008B0AF8" w:rsidRPr="000D3717" w:rsidRDefault="008B0AF8" w:rsidP="008B0AF8">
            <w:pPr>
              <w:pStyle w:val="ListParagraph"/>
              <w:numPr>
                <w:ilvl w:val="0"/>
                <w:numId w:val="2"/>
              </w:numPr>
              <w:rPr>
                <w:rFonts w:ascii="Times New Roman" w:hAnsi="Times New Roman" w:cs="Times New Roman"/>
                <w:b/>
                <w:sz w:val="24"/>
                <w:szCs w:val="24"/>
              </w:rPr>
            </w:pPr>
            <w:r w:rsidRPr="000D3717">
              <w:rPr>
                <w:rFonts w:ascii="Times New Roman" w:hAnsi="Times New Roman" w:cs="Times New Roman"/>
                <w:b/>
                <w:sz w:val="24"/>
                <w:szCs w:val="24"/>
              </w:rPr>
              <w:t>A</w:t>
            </w:r>
            <w:r w:rsidR="008420CE">
              <w:rPr>
                <w:rFonts w:ascii="Times New Roman" w:hAnsi="Times New Roman" w:cs="Times New Roman"/>
                <w:b/>
                <w:sz w:val="24"/>
                <w:szCs w:val="24"/>
              </w:rPr>
              <w:t>gj</w:t>
            </w:r>
            <w:r w:rsidRPr="000D3717">
              <w:rPr>
                <w:rFonts w:ascii="Times New Roman" w:hAnsi="Times New Roman" w:cs="Times New Roman"/>
                <w:b/>
                <w:sz w:val="24"/>
                <w:szCs w:val="24"/>
              </w:rPr>
              <w:t>enda për Reforma Evropiane 2016 (ERA -</w:t>
            </w:r>
            <w:r w:rsidR="00F9443B" w:rsidRPr="000D3717">
              <w:rPr>
                <w:rFonts w:ascii="Times New Roman" w:hAnsi="Times New Roman" w:cs="Times New Roman"/>
                <w:b/>
                <w:sz w:val="24"/>
                <w:szCs w:val="24"/>
              </w:rPr>
              <w:t>e</w:t>
            </w:r>
            <w:r w:rsidRPr="000D3717">
              <w:rPr>
                <w:rFonts w:ascii="Times New Roman" w:hAnsi="Times New Roman" w:cs="Times New Roman"/>
                <w:b/>
                <w:sz w:val="24"/>
                <w:szCs w:val="24"/>
              </w:rPr>
              <w:t xml:space="preserve">1, </w:t>
            </w:r>
            <w:r w:rsidR="00F9443B" w:rsidRPr="000D3717">
              <w:rPr>
                <w:rFonts w:ascii="Times New Roman" w:hAnsi="Times New Roman" w:cs="Times New Roman"/>
                <w:b/>
                <w:sz w:val="24"/>
                <w:szCs w:val="24"/>
              </w:rPr>
              <w:t>e</w:t>
            </w:r>
            <w:r w:rsidRPr="000D3717">
              <w:rPr>
                <w:rFonts w:ascii="Times New Roman" w:hAnsi="Times New Roman" w:cs="Times New Roman"/>
                <w:b/>
                <w:sz w:val="24"/>
                <w:szCs w:val="24"/>
              </w:rPr>
              <w:t>2)</w:t>
            </w:r>
          </w:p>
          <w:p w14:paraId="1F09744C" w14:textId="77777777" w:rsidR="008B0AF8" w:rsidRPr="000D3717" w:rsidRDefault="008B0AF8" w:rsidP="008B0AF8">
            <w:pPr>
              <w:pStyle w:val="ListParagraph"/>
              <w:numPr>
                <w:ilvl w:val="0"/>
                <w:numId w:val="2"/>
              </w:numPr>
              <w:rPr>
                <w:rFonts w:ascii="Times New Roman" w:hAnsi="Times New Roman" w:cs="Times New Roman"/>
                <w:b/>
                <w:sz w:val="24"/>
                <w:szCs w:val="24"/>
              </w:rPr>
            </w:pPr>
            <w:r w:rsidRPr="000D3717">
              <w:rPr>
                <w:rFonts w:ascii="Times New Roman" w:hAnsi="Times New Roman" w:cs="Times New Roman"/>
                <w:b/>
                <w:sz w:val="24"/>
                <w:szCs w:val="24"/>
              </w:rPr>
              <w:t xml:space="preserve">Marrëveshja e Stabilizim </w:t>
            </w:r>
            <w:proofErr w:type="spellStart"/>
            <w:r w:rsidRPr="000D3717">
              <w:rPr>
                <w:rFonts w:ascii="Times New Roman" w:hAnsi="Times New Roman" w:cs="Times New Roman"/>
                <w:b/>
                <w:sz w:val="24"/>
                <w:szCs w:val="24"/>
              </w:rPr>
              <w:t>Associmit</w:t>
            </w:r>
            <w:proofErr w:type="spellEnd"/>
            <w:r w:rsidRPr="000D3717">
              <w:rPr>
                <w:rFonts w:ascii="Times New Roman" w:hAnsi="Times New Roman" w:cs="Times New Roman"/>
                <w:b/>
                <w:sz w:val="24"/>
                <w:szCs w:val="24"/>
              </w:rPr>
              <w:t xml:space="preserve"> (Kapitulli 8 – Politikat e Konkurrencës)</w:t>
            </w:r>
          </w:p>
          <w:p w14:paraId="48BF5622" w14:textId="77777777" w:rsidR="00C966E4" w:rsidRPr="000D3717" w:rsidRDefault="008B0AF8" w:rsidP="008B0AF8">
            <w:pPr>
              <w:rPr>
                <w:rFonts w:ascii="Times New Roman" w:hAnsi="Times New Roman" w:cs="Times New Roman"/>
                <w:b/>
                <w:sz w:val="24"/>
                <w:szCs w:val="24"/>
              </w:rPr>
            </w:pPr>
            <w:r w:rsidRPr="000D3717" w:rsidDel="008B0AF8">
              <w:rPr>
                <w:rFonts w:ascii="Times New Roman" w:hAnsi="Times New Roman" w:cs="Times New Roman"/>
                <w:b/>
                <w:sz w:val="24"/>
                <w:szCs w:val="24"/>
              </w:rPr>
              <w:t xml:space="preserve"> </w:t>
            </w:r>
          </w:p>
        </w:tc>
      </w:tr>
    </w:tbl>
    <w:p w14:paraId="274E81AE" w14:textId="77777777" w:rsidR="00C966E4" w:rsidRPr="000D3717"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0D3717" w14:paraId="4BCED99B" w14:textId="77777777" w:rsidTr="008D7069">
        <w:tc>
          <w:tcPr>
            <w:tcW w:w="9895" w:type="dxa"/>
            <w:gridSpan w:val="2"/>
          </w:tcPr>
          <w:p w14:paraId="09D1AC62" w14:textId="77777777" w:rsidR="00C966E4" w:rsidRPr="000D3717" w:rsidRDefault="00AE5FC2" w:rsidP="008D7069">
            <w:pPr>
              <w:rPr>
                <w:rFonts w:ascii="Times New Roman" w:hAnsi="Times New Roman" w:cs="Times New Roman"/>
                <w:b/>
                <w:sz w:val="24"/>
                <w:szCs w:val="24"/>
              </w:rPr>
            </w:pPr>
            <w:r w:rsidRPr="000D3717">
              <w:rPr>
                <w:rFonts w:ascii="Times New Roman" w:hAnsi="Times New Roman" w:cs="Times New Roman"/>
                <w:b/>
                <w:sz w:val="24"/>
                <w:szCs w:val="24"/>
              </w:rPr>
              <w:t>Vendimi</w:t>
            </w:r>
          </w:p>
        </w:tc>
      </w:tr>
      <w:tr w:rsidR="00C966E4" w:rsidRPr="000D3717" w14:paraId="4C385830" w14:textId="77777777" w:rsidTr="008D7069">
        <w:tc>
          <w:tcPr>
            <w:tcW w:w="1795" w:type="dxa"/>
          </w:tcPr>
          <w:p w14:paraId="597EFD61"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Çështja kryesore</w:t>
            </w:r>
          </w:p>
        </w:tc>
        <w:tc>
          <w:tcPr>
            <w:tcW w:w="8100" w:type="dxa"/>
          </w:tcPr>
          <w:p w14:paraId="77CB458E" w14:textId="10A2596A" w:rsidR="00C966E4" w:rsidRPr="000D3717" w:rsidRDefault="00202656" w:rsidP="005D592D">
            <w:pPr>
              <w:spacing w:after="160"/>
              <w:rPr>
                <w:rFonts w:ascii="Times New Roman" w:hAnsi="Times New Roman" w:cs="Times New Roman"/>
                <w:b/>
                <w:sz w:val="24"/>
                <w:szCs w:val="24"/>
              </w:rPr>
            </w:pPr>
            <w:r w:rsidRPr="000D3717">
              <w:rPr>
                <w:rFonts w:ascii="Times New Roman" w:hAnsi="Times New Roman" w:cs="Times New Roman"/>
                <w:b/>
                <w:sz w:val="24"/>
                <w:szCs w:val="24"/>
              </w:rPr>
              <w:t>Përafrimi jo i plot</w:t>
            </w:r>
            <w:r w:rsidR="00806A74">
              <w:rPr>
                <w:rFonts w:ascii="Times New Roman" w:hAnsi="Times New Roman" w:cs="Times New Roman"/>
                <w:b/>
                <w:sz w:val="24"/>
                <w:szCs w:val="24"/>
              </w:rPr>
              <w:t>ë</w:t>
            </w:r>
            <w:r w:rsidRPr="000D3717">
              <w:rPr>
                <w:rFonts w:ascii="Times New Roman" w:hAnsi="Times New Roman" w:cs="Times New Roman"/>
                <w:b/>
                <w:sz w:val="24"/>
                <w:szCs w:val="24"/>
              </w:rPr>
              <w:t xml:space="preserve"> i Ligjit për Mbrojtjen e Konkurrencës </w:t>
            </w:r>
            <w:r w:rsidR="00674E05" w:rsidRPr="000D3717">
              <w:rPr>
                <w:rFonts w:ascii="Times New Roman" w:hAnsi="Times New Roman" w:cs="Times New Roman"/>
                <w:b/>
                <w:sz w:val="24"/>
                <w:szCs w:val="24"/>
              </w:rPr>
              <w:t>me rregullat e BE-së</w:t>
            </w:r>
            <w:r w:rsidRPr="000D3717">
              <w:rPr>
                <w:rFonts w:ascii="Times New Roman" w:hAnsi="Times New Roman" w:cs="Times New Roman"/>
                <w:b/>
                <w:sz w:val="24"/>
                <w:szCs w:val="24"/>
              </w:rPr>
              <w:t xml:space="preserve">, përmbajta e rregullave kontradiktore, mos përcaktimi  i kritereve specifike, si dhe prezenca </w:t>
            </w:r>
            <w:r w:rsidR="00674E05" w:rsidRPr="000D3717">
              <w:rPr>
                <w:rFonts w:ascii="Times New Roman" w:hAnsi="Times New Roman" w:cs="Times New Roman"/>
                <w:b/>
                <w:sz w:val="24"/>
                <w:szCs w:val="24"/>
              </w:rPr>
              <w:t>e dispozitave të panevojshme kanë ndikuar në</w:t>
            </w:r>
            <w:r w:rsidRPr="000D3717">
              <w:rPr>
                <w:rFonts w:ascii="Times New Roman" w:hAnsi="Times New Roman" w:cs="Times New Roman"/>
                <w:b/>
                <w:sz w:val="24"/>
                <w:szCs w:val="24"/>
              </w:rPr>
              <w:t xml:space="preserve"> efikasitetin e</w:t>
            </w:r>
            <w:r w:rsidR="00674E05" w:rsidRPr="000D3717">
              <w:rPr>
                <w:rFonts w:ascii="Times New Roman" w:hAnsi="Times New Roman" w:cs="Times New Roman"/>
                <w:b/>
                <w:sz w:val="24"/>
                <w:szCs w:val="24"/>
              </w:rPr>
              <w:t xml:space="preserve"> Autoritetit në</w:t>
            </w:r>
            <w:r w:rsidRPr="000D3717">
              <w:rPr>
                <w:rFonts w:ascii="Times New Roman" w:hAnsi="Times New Roman" w:cs="Times New Roman"/>
                <w:b/>
                <w:sz w:val="24"/>
                <w:szCs w:val="24"/>
              </w:rPr>
              <w:t xml:space="preserve"> implementimin e ligjit, rrjedhimisht duke vështirësuar</w:t>
            </w:r>
            <w:r w:rsidR="00674E05" w:rsidRPr="000D3717">
              <w:rPr>
                <w:rFonts w:ascii="Times New Roman" w:hAnsi="Times New Roman" w:cs="Times New Roman"/>
                <w:b/>
                <w:sz w:val="24"/>
                <w:szCs w:val="24"/>
              </w:rPr>
              <w:t xml:space="preserve"> funksionimin e lirë të</w:t>
            </w:r>
            <w:r w:rsidRPr="000D3717">
              <w:rPr>
                <w:rFonts w:ascii="Times New Roman" w:hAnsi="Times New Roman" w:cs="Times New Roman"/>
                <w:b/>
                <w:sz w:val="24"/>
                <w:szCs w:val="24"/>
              </w:rPr>
              <w:t xml:space="preserve"> tregut dhe konkurrencës.            </w:t>
            </w:r>
          </w:p>
        </w:tc>
      </w:tr>
      <w:tr w:rsidR="00C966E4" w:rsidRPr="000D3717" w14:paraId="3CBCDDC5" w14:textId="77777777" w:rsidTr="008D7069">
        <w:tc>
          <w:tcPr>
            <w:tcW w:w="1795" w:type="dxa"/>
            <w:vMerge w:val="restart"/>
          </w:tcPr>
          <w:p w14:paraId="289C102A"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Përmbledhje e konsultimeve</w:t>
            </w:r>
          </w:p>
        </w:tc>
        <w:tc>
          <w:tcPr>
            <w:tcW w:w="8100" w:type="dxa"/>
          </w:tcPr>
          <w:p w14:paraId="0624F63A" w14:textId="3F4D012A" w:rsidR="00C04536" w:rsidRPr="000D3717" w:rsidRDefault="00C04536" w:rsidP="008D7069">
            <w:pPr>
              <w:rPr>
                <w:rFonts w:ascii="Times New Roman" w:hAnsi="Times New Roman" w:cs="Times New Roman"/>
                <w:b/>
                <w:sz w:val="24"/>
                <w:szCs w:val="24"/>
              </w:rPr>
            </w:pPr>
            <w:r w:rsidRPr="000D3717">
              <w:rPr>
                <w:rFonts w:ascii="Times New Roman" w:hAnsi="Times New Roman" w:cs="Times New Roman"/>
                <w:b/>
                <w:sz w:val="24"/>
                <w:szCs w:val="24"/>
              </w:rPr>
              <w:t>Me q</w:t>
            </w:r>
            <w:r w:rsidR="00806A74">
              <w:rPr>
                <w:rFonts w:ascii="Times New Roman" w:hAnsi="Times New Roman" w:cs="Times New Roman"/>
                <w:b/>
                <w:sz w:val="24"/>
                <w:szCs w:val="24"/>
              </w:rPr>
              <w:t>ë</w:t>
            </w:r>
            <w:r w:rsidRPr="000D3717">
              <w:rPr>
                <w:rFonts w:ascii="Times New Roman" w:hAnsi="Times New Roman" w:cs="Times New Roman"/>
                <w:b/>
                <w:sz w:val="24"/>
                <w:szCs w:val="24"/>
              </w:rPr>
              <w:t xml:space="preserve">llim të  përfshirjes së </w:t>
            </w:r>
            <w:r w:rsidR="008420CE">
              <w:rPr>
                <w:rFonts w:ascii="Times New Roman" w:hAnsi="Times New Roman" w:cs="Times New Roman"/>
                <w:b/>
                <w:sz w:val="24"/>
                <w:szCs w:val="24"/>
              </w:rPr>
              <w:t xml:space="preserve">të gjitha </w:t>
            </w:r>
            <w:r w:rsidRPr="000D3717">
              <w:rPr>
                <w:rFonts w:ascii="Times New Roman" w:hAnsi="Times New Roman" w:cs="Times New Roman"/>
                <w:b/>
                <w:sz w:val="24"/>
                <w:szCs w:val="24"/>
              </w:rPr>
              <w:t xml:space="preserve">institucioneve të Republikës së Kosovës dhe palëve të tjera të interesit, Grupi Punues për Koncept Dokument në Fushën e Konkurrencës ka përfshirë në përbërjen e procesit të konsultimit ndërministror jo vetëm përfaqësues nga institucionet dhe ministritë e linjës por edhe përfaqësues nga niveli komunal dhe </w:t>
            </w:r>
            <w:r w:rsidRPr="005B54DA">
              <w:rPr>
                <w:rFonts w:ascii="Times New Roman" w:hAnsi="Times New Roman" w:cs="Times New Roman"/>
                <w:b/>
                <w:sz w:val="24"/>
                <w:szCs w:val="24"/>
              </w:rPr>
              <w:t xml:space="preserve">shoqëria civile </w:t>
            </w:r>
            <w:r w:rsidRPr="000D3717">
              <w:rPr>
                <w:rFonts w:ascii="Times New Roman" w:hAnsi="Times New Roman" w:cs="Times New Roman"/>
                <w:b/>
                <w:sz w:val="24"/>
                <w:szCs w:val="24"/>
              </w:rPr>
              <w:t xml:space="preserve">që kanë fokus të veçantë në fushën e konkurrencës. </w:t>
            </w:r>
          </w:p>
          <w:p w14:paraId="5306AFD0" w14:textId="77777777" w:rsidR="001025C9" w:rsidRPr="000D3717" w:rsidRDefault="001025C9" w:rsidP="008D7069">
            <w:pPr>
              <w:rPr>
                <w:rFonts w:ascii="Times New Roman" w:hAnsi="Times New Roman" w:cs="Times New Roman"/>
                <w:sz w:val="24"/>
                <w:szCs w:val="24"/>
              </w:rPr>
            </w:pPr>
          </w:p>
          <w:p w14:paraId="4293A6DD" w14:textId="77777777" w:rsidR="001025C9" w:rsidRPr="000D3717" w:rsidRDefault="00332444" w:rsidP="001025C9">
            <w:pPr>
              <w:rPr>
                <w:rFonts w:ascii="Times New Roman" w:hAnsi="Times New Roman" w:cs="Times New Roman"/>
                <w:b/>
                <w:sz w:val="24"/>
                <w:szCs w:val="24"/>
              </w:rPr>
            </w:pPr>
            <w:r>
              <w:rPr>
                <w:rFonts w:ascii="Times New Roman" w:hAnsi="Times New Roman" w:cs="Times New Roman"/>
                <w:b/>
                <w:sz w:val="24"/>
                <w:szCs w:val="24"/>
              </w:rPr>
              <w:t>G</w:t>
            </w:r>
            <w:r w:rsidR="001025C9" w:rsidRPr="000D3717">
              <w:rPr>
                <w:rFonts w:ascii="Times New Roman" w:hAnsi="Times New Roman" w:cs="Times New Roman"/>
                <w:b/>
                <w:sz w:val="24"/>
                <w:szCs w:val="24"/>
              </w:rPr>
              <w:t>jatë konsultimeve paraprake</w:t>
            </w:r>
            <w:r w:rsidR="0080324C" w:rsidRPr="000D3717">
              <w:rPr>
                <w:rFonts w:ascii="Times New Roman" w:hAnsi="Times New Roman" w:cs="Times New Roman"/>
                <w:b/>
                <w:sz w:val="24"/>
                <w:szCs w:val="24"/>
              </w:rPr>
              <w:t xml:space="preserve"> t</w:t>
            </w:r>
            <w:r>
              <w:rPr>
                <w:rFonts w:ascii="Times New Roman" w:hAnsi="Times New Roman" w:cs="Times New Roman"/>
                <w:b/>
                <w:sz w:val="24"/>
                <w:szCs w:val="24"/>
              </w:rPr>
              <w:t>ë</w:t>
            </w:r>
            <w:r w:rsidR="0080324C" w:rsidRPr="000D3717">
              <w:rPr>
                <w:rFonts w:ascii="Times New Roman" w:hAnsi="Times New Roman" w:cs="Times New Roman"/>
                <w:b/>
                <w:sz w:val="24"/>
                <w:szCs w:val="24"/>
              </w:rPr>
              <w:t xml:space="preserve"> organizuar n</w:t>
            </w:r>
            <w:r>
              <w:rPr>
                <w:rFonts w:ascii="Times New Roman" w:hAnsi="Times New Roman" w:cs="Times New Roman"/>
                <w:b/>
                <w:sz w:val="24"/>
                <w:szCs w:val="24"/>
              </w:rPr>
              <w:t>ë</w:t>
            </w:r>
            <w:r w:rsidR="0080324C" w:rsidRPr="000D3717">
              <w:rPr>
                <w:rFonts w:ascii="Times New Roman" w:hAnsi="Times New Roman" w:cs="Times New Roman"/>
                <w:b/>
                <w:sz w:val="24"/>
                <w:szCs w:val="24"/>
              </w:rPr>
              <w:t xml:space="preserve"> kuadër të takimit të par</w:t>
            </w:r>
            <w:r>
              <w:rPr>
                <w:rFonts w:ascii="Times New Roman" w:hAnsi="Times New Roman" w:cs="Times New Roman"/>
                <w:b/>
                <w:sz w:val="24"/>
                <w:szCs w:val="24"/>
              </w:rPr>
              <w:t>ë</w:t>
            </w:r>
            <w:r w:rsidR="0080324C" w:rsidRPr="000D3717">
              <w:rPr>
                <w:rFonts w:ascii="Times New Roman" w:hAnsi="Times New Roman" w:cs="Times New Roman"/>
                <w:b/>
                <w:sz w:val="24"/>
                <w:szCs w:val="24"/>
              </w:rPr>
              <w:t xml:space="preserve"> publik, q</w:t>
            </w:r>
            <w:r w:rsidR="001025C9" w:rsidRPr="000D3717">
              <w:rPr>
                <w:rFonts w:ascii="Times New Roman" w:hAnsi="Times New Roman" w:cs="Times New Roman"/>
                <w:b/>
                <w:sz w:val="24"/>
                <w:szCs w:val="24"/>
              </w:rPr>
              <w:t>ë ë</w:t>
            </w:r>
            <w:r w:rsidR="0080324C" w:rsidRPr="000D3717">
              <w:rPr>
                <w:rFonts w:ascii="Times New Roman" w:hAnsi="Times New Roman" w:cs="Times New Roman"/>
                <w:b/>
                <w:sz w:val="24"/>
                <w:szCs w:val="24"/>
              </w:rPr>
              <w:t xml:space="preserve">shtë mbajtur </w:t>
            </w:r>
            <w:r>
              <w:rPr>
                <w:rFonts w:ascii="Times New Roman" w:hAnsi="Times New Roman" w:cs="Times New Roman"/>
                <w:b/>
                <w:sz w:val="24"/>
                <w:szCs w:val="24"/>
              </w:rPr>
              <w:t>me</w:t>
            </w:r>
            <w:r w:rsidR="0080324C" w:rsidRPr="000D3717">
              <w:rPr>
                <w:rFonts w:ascii="Times New Roman" w:hAnsi="Times New Roman" w:cs="Times New Roman"/>
                <w:b/>
                <w:sz w:val="24"/>
                <w:szCs w:val="24"/>
              </w:rPr>
              <w:t xml:space="preserve"> datë</w:t>
            </w:r>
            <w:r w:rsidR="001025C9" w:rsidRPr="000D3717">
              <w:rPr>
                <w:rFonts w:ascii="Times New Roman" w:hAnsi="Times New Roman" w:cs="Times New Roman"/>
                <w:b/>
                <w:sz w:val="24"/>
                <w:szCs w:val="24"/>
              </w:rPr>
              <w:t xml:space="preserve"> </w:t>
            </w:r>
            <w:r w:rsidR="0080324C" w:rsidRPr="000D3717">
              <w:rPr>
                <w:rFonts w:ascii="Times New Roman" w:hAnsi="Times New Roman" w:cs="Times New Roman"/>
                <w:b/>
                <w:sz w:val="24"/>
                <w:szCs w:val="24"/>
              </w:rPr>
              <w:t>30 korrik, 2018 janë dhënë</w:t>
            </w:r>
            <w:r w:rsidR="001025C9" w:rsidRPr="000D3717">
              <w:rPr>
                <w:rFonts w:ascii="Times New Roman" w:hAnsi="Times New Roman" w:cs="Times New Roman"/>
                <w:b/>
                <w:sz w:val="24"/>
                <w:szCs w:val="24"/>
              </w:rPr>
              <w:t xml:space="preserve"> këto komente:</w:t>
            </w:r>
          </w:p>
          <w:p w14:paraId="35754022" w14:textId="77777777" w:rsidR="0080324C" w:rsidRPr="000D3717" w:rsidRDefault="0080324C" w:rsidP="001025C9">
            <w:pPr>
              <w:rPr>
                <w:rFonts w:ascii="Times New Roman" w:hAnsi="Times New Roman" w:cs="Times New Roman"/>
                <w:sz w:val="24"/>
                <w:szCs w:val="24"/>
              </w:rPr>
            </w:pPr>
          </w:p>
          <w:p w14:paraId="6E2A15A4" w14:textId="5D563215" w:rsidR="0080324C" w:rsidRPr="000D3717" w:rsidRDefault="00332444" w:rsidP="0080324C">
            <w:pPr>
              <w:rPr>
                <w:rFonts w:ascii="Times New Roman" w:hAnsi="Times New Roman" w:cs="Times New Roman"/>
                <w:i/>
                <w:sz w:val="24"/>
                <w:szCs w:val="24"/>
              </w:rPr>
            </w:pPr>
            <w:r>
              <w:rPr>
                <w:rFonts w:ascii="Times New Roman" w:hAnsi="Times New Roman" w:cs="Times New Roman"/>
                <w:i/>
                <w:sz w:val="24"/>
                <w:szCs w:val="24"/>
              </w:rPr>
              <w:t>-</w:t>
            </w:r>
            <w:r w:rsidR="0080324C" w:rsidRPr="000D3717">
              <w:rPr>
                <w:rFonts w:ascii="Times New Roman" w:hAnsi="Times New Roman" w:cs="Times New Roman"/>
                <w:i/>
                <w:sz w:val="24"/>
                <w:szCs w:val="24"/>
              </w:rPr>
              <w:t>Në këtë takim u diskutua për përqindjen e pozitës dominuese se a do të jetë 25% apo do të duhet të r</w:t>
            </w:r>
            <w:r>
              <w:rPr>
                <w:rFonts w:ascii="Times New Roman" w:hAnsi="Times New Roman" w:cs="Times New Roman"/>
                <w:i/>
                <w:sz w:val="24"/>
                <w:szCs w:val="24"/>
              </w:rPr>
              <w:t>r</w:t>
            </w:r>
            <w:r w:rsidR="0080324C" w:rsidRPr="000D3717">
              <w:rPr>
                <w:rFonts w:ascii="Times New Roman" w:hAnsi="Times New Roman" w:cs="Times New Roman"/>
                <w:i/>
                <w:sz w:val="24"/>
                <w:szCs w:val="24"/>
              </w:rPr>
              <w:t>itet në 40%</w:t>
            </w:r>
            <w:r>
              <w:rPr>
                <w:rFonts w:ascii="Times New Roman" w:hAnsi="Times New Roman" w:cs="Times New Roman"/>
                <w:i/>
                <w:sz w:val="24"/>
                <w:szCs w:val="24"/>
              </w:rPr>
              <w:t>,</w:t>
            </w:r>
            <w:r w:rsidR="0080324C" w:rsidRPr="000D3717">
              <w:rPr>
                <w:rFonts w:ascii="Times New Roman" w:hAnsi="Times New Roman" w:cs="Times New Roman"/>
                <w:i/>
                <w:sz w:val="24"/>
                <w:szCs w:val="24"/>
              </w:rPr>
              <w:t xml:space="preserve"> shumica e pjesëmarrësve ishin dakord për </w:t>
            </w:r>
            <w:r>
              <w:rPr>
                <w:rFonts w:ascii="Times New Roman" w:hAnsi="Times New Roman" w:cs="Times New Roman"/>
                <w:i/>
                <w:sz w:val="24"/>
                <w:szCs w:val="24"/>
              </w:rPr>
              <w:t xml:space="preserve">pozitën dominuese që të jetë </w:t>
            </w:r>
            <w:r w:rsidR="0080324C" w:rsidRPr="000D3717">
              <w:rPr>
                <w:rFonts w:ascii="Times New Roman" w:hAnsi="Times New Roman" w:cs="Times New Roman"/>
                <w:i/>
                <w:sz w:val="24"/>
                <w:szCs w:val="24"/>
              </w:rPr>
              <w:t>40% pasi që</w:t>
            </w:r>
            <w:r w:rsidR="00D9713A">
              <w:rPr>
                <w:rFonts w:ascii="Times New Roman" w:hAnsi="Times New Roman" w:cs="Times New Roman"/>
                <w:i/>
                <w:sz w:val="24"/>
                <w:szCs w:val="24"/>
              </w:rPr>
              <w:t xml:space="preserve"> </w:t>
            </w:r>
            <w:r w:rsidR="0080324C" w:rsidRPr="000D3717">
              <w:rPr>
                <w:rFonts w:ascii="Times New Roman" w:hAnsi="Times New Roman" w:cs="Times New Roman"/>
                <w:i/>
                <w:sz w:val="24"/>
                <w:szCs w:val="24"/>
              </w:rPr>
              <w:t>është më e pranueshme për tregun vendor dhe po ashtu</w:t>
            </w:r>
            <w:r w:rsidR="00806A74">
              <w:rPr>
                <w:rFonts w:ascii="Times New Roman" w:hAnsi="Times New Roman" w:cs="Times New Roman"/>
                <w:i/>
                <w:sz w:val="24"/>
                <w:szCs w:val="24"/>
              </w:rPr>
              <w:t>,</w:t>
            </w:r>
            <w:r w:rsidR="0080324C" w:rsidRPr="000D3717">
              <w:rPr>
                <w:rFonts w:ascii="Times New Roman" w:hAnsi="Times New Roman" w:cs="Times New Roman"/>
                <w:i/>
                <w:sz w:val="24"/>
                <w:szCs w:val="24"/>
              </w:rPr>
              <w:t xml:space="preserve"> është </w:t>
            </w:r>
            <w:r w:rsidRPr="000D3717">
              <w:rPr>
                <w:rFonts w:ascii="Times New Roman" w:hAnsi="Times New Roman" w:cs="Times New Roman"/>
                <w:i/>
                <w:sz w:val="24"/>
                <w:szCs w:val="24"/>
              </w:rPr>
              <w:t>prezentë</w:t>
            </w:r>
            <w:r w:rsidR="0080324C" w:rsidRPr="000D3717">
              <w:rPr>
                <w:rFonts w:ascii="Times New Roman" w:hAnsi="Times New Roman" w:cs="Times New Roman"/>
                <w:i/>
                <w:sz w:val="24"/>
                <w:szCs w:val="24"/>
              </w:rPr>
              <w:t xml:space="preserve"> </w:t>
            </w:r>
            <w:r w:rsidR="00D9713A">
              <w:rPr>
                <w:rFonts w:ascii="Times New Roman" w:hAnsi="Times New Roman" w:cs="Times New Roman"/>
                <w:i/>
                <w:sz w:val="24"/>
                <w:szCs w:val="24"/>
              </w:rPr>
              <w:t>si kuot</w:t>
            </w:r>
            <w:r w:rsidR="00D9713A" w:rsidRPr="000D3717">
              <w:rPr>
                <w:rFonts w:ascii="Times New Roman" w:hAnsi="Times New Roman" w:cs="Times New Roman"/>
                <w:i/>
                <w:sz w:val="24"/>
                <w:szCs w:val="24"/>
              </w:rPr>
              <w:t>ë</w:t>
            </w:r>
            <w:r w:rsidR="00D9713A">
              <w:rPr>
                <w:rFonts w:ascii="Times New Roman" w:hAnsi="Times New Roman" w:cs="Times New Roman"/>
                <w:i/>
                <w:sz w:val="24"/>
                <w:szCs w:val="24"/>
              </w:rPr>
              <w:t xml:space="preserve"> </w:t>
            </w:r>
            <w:r w:rsidR="0080324C" w:rsidRPr="000D3717">
              <w:rPr>
                <w:rFonts w:ascii="Times New Roman" w:hAnsi="Times New Roman" w:cs="Times New Roman"/>
                <w:i/>
                <w:sz w:val="24"/>
                <w:szCs w:val="24"/>
              </w:rPr>
              <w:t xml:space="preserve">edhe në vendet e rajonit. Gjithashtu u diskutua që çdo kompani që e arrin 40%-shin të ketë kritere të veçanta për të mos keqpërdorur ketë pozitë dominuese. </w:t>
            </w:r>
          </w:p>
          <w:p w14:paraId="5F8D24BF" w14:textId="77777777" w:rsidR="0080324C" w:rsidRPr="000D3717" w:rsidRDefault="0080324C" w:rsidP="0080324C">
            <w:pPr>
              <w:rPr>
                <w:rFonts w:ascii="Times New Roman" w:hAnsi="Times New Roman" w:cs="Times New Roman"/>
                <w:i/>
                <w:sz w:val="24"/>
                <w:szCs w:val="24"/>
              </w:rPr>
            </w:pPr>
          </w:p>
          <w:p w14:paraId="44C78A14" w14:textId="6D17DCE6" w:rsidR="0080324C" w:rsidRPr="000D3717" w:rsidRDefault="00332444" w:rsidP="0080324C">
            <w:pPr>
              <w:rPr>
                <w:rFonts w:ascii="Times New Roman" w:hAnsi="Times New Roman" w:cs="Times New Roman"/>
                <w:i/>
                <w:sz w:val="24"/>
                <w:szCs w:val="24"/>
              </w:rPr>
            </w:pPr>
            <w:r>
              <w:rPr>
                <w:rFonts w:ascii="Times New Roman" w:hAnsi="Times New Roman" w:cs="Times New Roman"/>
                <w:i/>
                <w:sz w:val="24"/>
                <w:szCs w:val="24"/>
              </w:rPr>
              <w:t>-</w:t>
            </w:r>
            <w:r w:rsidR="0080324C" w:rsidRPr="000D3717">
              <w:rPr>
                <w:rFonts w:ascii="Times New Roman" w:hAnsi="Times New Roman" w:cs="Times New Roman"/>
                <w:i/>
                <w:sz w:val="24"/>
                <w:szCs w:val="24"/>
              </w:rPr>
              <w:t>U potencua s</w:t>
            </w:r>
            <w:r>
              <w:rPr>
                <w:rFonts w:ascii="Times New Roman" w:hAnsi="Times New Roman" w:cs="Times New Roman"/>
                <w:i/>
                <w:sz w:val="24"/>
                <w:szCs w:val="24"/>
              </w:rPr>
              <w:t>ë</w:t>
            </w:r>
            <w:r w:rsidR="0080324C" w:rsidRPr="000D3717">
              <w:rPr>
                <w:rFonts w:ascii="Times New Roman" w:hAnsi="Times New Roman" w:cs="Times New Roman"/>
                <w:i/>
                <w:sz w:val="24"/>
                <w:szCs w:val="24"/>
              </w:rPr>
              <w:t xml:space="preserve"> duhet të përdoret termi ndryshim-plotësim në vend të fjalëve ligj i ri, dhe të harmonizohet me ligjin për shoqëri tregtare ( koment i dhënë nga përfaqësuesi i Post</w:t>
            </w:r>
            <w:r>
              <w:rPr>
                <w:rFonts w:ascii="Times New Roman" w:hAnsi="Times New Roman" w:cs="Times New Roman"/>
                <w:i/>
                <w:sz w:val="24"/>
                <w:szCs w:val="24"/>
              </w:rPr>
              <w:t>ë</w:t>
            </w:r>
            <w:r w:rsidR="0080324C" w:rsidRPr="000D3717">
              <w:rPr>
                <w:rFonts w:ascii="Times New Roman" w:hAnsi="Times New Roman" w:cs="Times New Roman"/>
                <w:i/>
                <w:sz w:val="24"/>
                <w:szCs w:val="24"/>
              </w:rPr>
              <w:t>s s</w:t>
            </w:r>
            <w:r>
              <w:rPr>
                <w:rFonts w:ascii="Times New Roman" w:hAnsi="Times New Roman" w:cs="Times New Roman"/>
                <w:i/>
                <w:sz w:val="24"/>
                <w:szCs w:val="24"/>
              </w:rPr>
              <w:t>ë</w:t>
            </w:r>
            <w:r w:rsidR="0080324C" w:rsidRPr="000D3717">
              <w:rPr>
                <w:rFonts w:ascii="Times New Roman" w:hAnsi="Times New Roman" w:cs="Times New Roman"/>
                <w:i/>
                <w:sz w:val="24"/>
                <w:szCs w:val="24"/>
              </w:rPr>
              <w:t xml:space="preserve"> Kosovës). Në vazhdim u potencua se Autoriteti Kosovar i Konkurrencës duhet të ketë rol ekzekutiv në vendimet që merr, si dhe puna e komisionit </w:t>
            </w:r>
            <w:r>
              <w:rPr>
                <w:rFonts w:ascii="Times New Roman" w:hAnsi="Times New Roman" w:cs="Times New Roman"/>
                <w:i/>
                <w:sz w:val="24"/>
                <w:szCs w:val="24"/>
              </w:rPr>
              <w:t>aktual</w:t>
            </w:r>
            <w:r w:rsidR="00D9713A">
              <w:rPr>
                <w:rFonts w:ascii="Times New Roman" w:hAnsi="Times New Roman" w:cs="Times New Roman"/>
                <w:i/>
                <w:sz w:val="24"/>
                <w:szCs w:val="24"/>
              </w:rPr>
              <w:t xml:space="preserve"> </w:t>
            </w:r>
            <w:r w:rsidR="0080324C" w:rsidRPr="000D3717">
              <w:rPr>
                <w:rFonts w:ascii="Times New Roman" w:hAnsi="Times New Roman" w:cs="Times New Roman"/>
                <w:i/>
                <w:sz w:val="24"/>
                <w:szCs w:val="24"/>
              </w:rPr>
              <w:t xml:space="preserve">të vazhdojë deri në formimin e komisionit të ri dhe të mos pritet </w:t>
            </w:r>
            <w:r w:rsidR="0080324C" w:rsidRPr="000D3717">
              <w:rPr>
                <w:rFonts w:ascii="Times New Roman" w:hAnsi="Times New Roman" w:cs="Times New Roman"/>
                <w:i/>
                <w:sz w:val="24"/>
                <w:szCs w:val="24"/>
              </w:rPr>
              <w:lastRenderedPageBreak/>
              <w:t xml:space="preserve">nga Kuvendi i Kosovës derisa të zgjedhë Komisionin e ri pasi që </w:t>
            </w:r>
            <w:r w:rsidR="00D9713A">
              <w:rPr>
                <w:rFonts w:ascii="Times New Roman" w:hAnsi="Times New Roman" w:cs="Times New Roman"/>
                <w:i/>
                <w:sz w:val="24"/>
                <w:szCs w:val="24"/>
              </w:rPr>
              <w:t xml:space="preserve">bllokohet </w:t>
            </w:r>
            <w:r w:rsidR="0080324C" w:rsidRPr="000D3717">
              <w:rPr>
                <w:rFonts w:ascii="Times New Roman" w:hAnsi="Times New Roman" w:cs="Times New Roman"/>
                <w:i/>
                <w:sz w:val="24"/>
                <w:szCs w:val="24"/>
              </w:rPr>
              <w:t xml:space="preserve">puna e AKK-së. </w:t>
            </w:r>
          </w:p>
          <w:p w14:paraId="3609012D" w14:textId="77777777" w:rsidR="0080324C" w:rsidRPr="000D3717" w:rsidRDefault="0080324C" w:rsidP="0080324C">
            <w:pPr>
              <w:rPr>
                <w:rFonts w:ascii="Times New Roman" w:hAnsi="Times New Roman" w:cs="Times New Roman"/>
                <w:i/>
                <w:sz w:val="24"/>
                <w:szCs w:val="24"/>
              </w:rPr>
            </w:pPr>
          </w:p>
          <w:p w14:paraId="127EE202" w14:textId="77777777" w:rsidR="0080324C" w:rsidRPr="000D3717" w:rsidRDefault="00636D91" w:rsidP="0080324C">
            <w:pPr>
              <w:rPr>
                <w:rFonts w:ascii="Times New Roman" w:hAnsi="Times New Roman" w:cs="Times New Roman"/>
                <w:i/>
                <w:sz w:val="24"/>
                <w:szCs w:val="24"/>
              </w:rPr>
            </w:pPr>
            <w:r>
              <w:rPr>
                <w:rFonts w:ascii="Times New Roman" w:hAnsi="Times New Roman" w:cs="Times New Roman"/>
                <w:i/>
                <w:sz w:val="24"/>
                <w:szCs w:val="24"/>
              </w:rPr>
              <w:t>-</w:t>
            </w:r>
            <w:r w:rsidR="0080324C" w:rsidRPr="000D3717">
              <w:rPr>
                <w:rFonts w:ascii="Times New Roman" w:hAnsi="Times New Roman" w:cs="Times New Roman"/>
                <w:i/>
                <w:sz w:val="24"/>
                <w:szCs w:val="24"/>
              </w:rPr>
              <w:t>Komente kishte edhe nga përfaqësuesit e sektorit privat</w:t>
            </w:r>
            <w:r>
              <w:rPr>
                <w:rFonts w:ascii="Times New Roman" w:hAnsi="Times New Roman" w:cs="Times New Roman"/>
                <w:i/>
                <w:sz w:val="24"/>
                <w:szCs w:val="24"/>
              </w:rPr>
              <w:t xml:space="preserve">, </w:t>
            </w:r>
            <w:r w:rsidR="0080324C" w:rsidRPr="000D3717">
              <w:rPr>
                <w:rFonts w:ascii="Times New Roman" w:hAnsi="Times New Roman" w:cs="Times New Roman"/>
                <w:i/>
                <w:sz w:val="24"/>
                <w:szCs w:val="24"/>
              </w:rPr>
              <w:t xml:space="preserve">në lidhje me shkurtimin e afateve për nisjen dhe pas nisjes së procedurave nga ana e AKK-së si dhe të krijohet </w:t>
            </w:r>
            <w:proofErr w:type="spellStart"/>
            <w:r w:rsidR="0080324C" w:rsidRPr="000D3717">
              <w:rPr>
                <w:rFonts w:ascii="Times New Roman" w:hAnsi="Times New Roman" w:cs="Times New Roman"/>
                <w:i/>
                <w:sz w:val="24"/>
                <w:szCs w:val="24"/>
              </w:rPr>
              <w:t>dyshkallshm</w:t>
            </w:r>
            <w:r>
              <w:rPr>
                <w:rFonts w:ascii="Times New Roman" w:hAnsi="Times New Roman" w:cs="Times New Roman"/>
                <w:i/>
                <w:sz w:val="24"/>
                <w:szCs w:val="24"/>
              </w:rPr>
              <w:t>ë</w:t>
            </w:r>
            <w:r w:rsidR="0080324C" w:rsidRPr="000D3717">
              <w:rPr>
                <w:rFonts w:ascii="Times New Roman" w:hAnsi="Times New Roman" w:cs="Times New Roman"/>
                <w:i/>
                <w:sz w:val="24"/>
                <w:szCs w:val="24"/>
              </w:rPr>
              <w:t>ri</w:t>
            </w:r>
            <w:proofErr w:type="spellEnd"/>
            <w:r w:rsidR="0080324C" w:rsidRPr="000D3717">
              <w:rPr>
                <w:rFonts w:ascii="Times New Roman" w:hAnsi="Times New Roman" w:cs="Times New Roman"/>
                <w:i/>
                <w:sz w:val="24"/>
                <w:szCs w:val="24"/>
              </w:rPr>
              <w:t xml:space="preserve"> brenda Autoritetit Kosovar të Konkurrencës (Përfaqësuesi nga </w:t>
            </w:r>
            <w:proofErr w:type="spellStart"/>
            <w:r w:rsidR="0080324C" w:rsidRPr="000D3717">
              <w:rPr>
                <w:rFonts w:ascii="Times New Roman" w:hAnsi="Times New Roman" w:cs="Times New Roman"/>
                <w:i/>
                <w:sz w:val="24"/>
                <w:szCs w:val="24"/>
              </w:rPr>
              <w:t>Ipko</w:t>
            </w:r>
            <w:proofErr w:type="spellEnd"/>
            <w:r w:rsidR="0080324C" w:rsidRPr="000D3717">
              <w:rPr>
                <w:rFonts w:ascii="Times New Roman" w:hAnsi="Times New Roman" w:cs="Times New Roman"/>
                <w:i/>
                <w:sz w:val="24"/>
                <w:szCs w:val="24"/>
              </w:rPr>
              <w:t xml:space="preserve">). </w:t>
            </w:r>
          </w:p>
          <w:p w14:paraId="28B12538" w14:textId="77777777" w:rsidR="0080324C" w:rsidRPr="000D3717" w:rsidRDefault="0080324C" w:rsidP="0080324C">
            <w:pPr>
              <w:rPr>
                <w:rFonts w:ascii="Times New Roman" w:hAnsi="Times New Roman" w:cs="Times New Roman"/>
                <w:i/>
                <w:sz w:val="24"/>
                <w:szCs w:val="24"/>
              </w:rPr>
            </w:pPr>
            <w:r w:rsidRPr="000D3717">
              <w:rPr>
                <w:rFonts w:ascii="Times New Roman" w:hAnsi="Times New Roman" w:cs="Times New Roman"/>
                <w:i/>
                <w:sz w:val="24"/>
                <w:szCs w:val="24"/>
              </w:rPr>
              <w:t xml:space="preserve"> </w:t>
            </w:r>
          </w:p>
          <w:p w14:paraId="2EED9B8E" w14:textId="77777777" w:rsidR="0080324C" w:rsidRPr="000D3717" w:rsidRDefault="0080324C" w:rsidP="0080324C">
            <w:pPr>
              <w:rPr>
                <w:rFonts w:ascii="Times New Roman" w:hAnsi="Times New Roman" w:cs="Times New Roman"/>
                <w:i/>
                <w:sz w:val="24"/>
                <w:szCs w:val="24"/>
              </w:rPr>
            </w:pPr>
            <w:r w:rsidRPr="000D3717">
              <w:rPr>
                <w:rFonts w:ascii="Times New Roman" w:hAnsi="Times New Roman" w:cs="Times New Roman"/>
                <w:i/>
                <w:sz w:val="24"/>
                <w:szCs w:val="24"/>
              </w:rPr>
              <w:t>Po ashtu</w:t>
            </w:r>
            <w:r w:rsidR="00636D91">
              <w:rPr>
                <w:rFonts w:ascii="Times New Roman" w:hAnsi="Times New Roman" w:cs="Times New Roman"/>
                <w:i/>
                <w:sz w:val="24"/>
                <w:szCs w:val="24"/>
              </w:rPr>
              <w:t>,</w:t>
            </w:r>
            <w:r w:rsidRPr="000D3717">
              <w:rPr>
                <w:rFonts w:ascii="Times New Roman" w:hAnsi="Times New Roman" w:cs="Times New Roman"/>
                <w:i/>
                <w:sz w:val="24"/>
                <w:szCs w:val="24"/>
              </w:rPr>
              <w:t xml:space="preserve"> u sqarua se çka e përcakton pozitën dominuese d.m.th</w:t>
            </w:r>
            <w:r w:rsidR="00636D91">
              <w:rPr>
                <w:rFonts w:ascii="Times New Roman" w:hAnsi="Times New Roman" w:cs="Times New Roman"/>
                <w:i/>
                <w:sz w:val="24"/>
                <w:szCs w:val="24"/>
              </w:rPr>
              <w:t>,</w:t>
            </w:r>
            <w:r w:rsidRPr="000D3717">
              <w:rPr>
                <w:rFonts w:ascii="Times New Roman" w:hAnsi="Times New Roman" w:cs="Times New Roman"/>
                <w:i/>
                <w:sz w:val="24"/>
                <w:szCs w:val="24"/>
              </w:rPr>
              <w:t xml:space="preserve"> </w:t>
            </w:r>
            <w:r w:rsidR="00636D91">
              <w:rPr>
                <w:rFonts w:ascii="Times New Roman" w:hAnsi="Times New Roman" w:cs="Times New Roman"/>
                <w:i/>
                <w:sz w:val="24"/>
                <w:szCs w:val="24"/>
              </w:rPr>
              <w:t>n</w:t>
            </w:r>
            <w:r w:rsidRPr="000D3717">
              <w:rPr>
                <w:rFonts w:ascii="Times New Roman" w:hAnsi="Times New Roman" w:cs="Times New Roman"/>
                <w:i/>
                <w:sz w:val="24"/>
                <w:szCs w:val="24"/>
              </w:rPr>
              <w:t xml:space="preserve">eni 10 i ligjit aktual me Nr. 03/L-229 për Mbrojtjen e Konkurrencës </w:t>
            </w:r>
            <w:proofErr w:type="spellStart"/>
            <w:r w:rsidRPr="000D3717">
              <w:rPr>
                <w:rFonts w:ascii="Times New Roman" w:hAnsi="Times New Roman" w:cs="Times New Roman"/>
                <w:i/>
                <w:sz w:val="24"/>
                <w:szCs w:val="24"/>
              </w:rPr>
              <w:t>decidivisht</w:t>
            </w:r>
            <w:proofErr w:type="spellEnd"/>
            <w:r w:rsidRPr="000D3717">
              <w:rPr>
                <w:rFonts w:ascii="Times New Roman" w:hAnsi="Times New Roman" w:cs="Times New Roman"/>
                <w:i/>
                <w:sz w:val="24"/>
                <w:szCs w:val="24"/>
              </w:rPr>
              <w:t xml:space="preserve">  sqaron ketë çështje përmes kritereve të përshkruara në të. </w:t>
            </w:r>
          </w:p>
          <w:p w14:paraId="6C7551A1" w14:textId="77777777" w:rsidR="0080324C" w:rsidRPr="000D3717" w:rsidRDefault="0080324C" w:rsidP="0080324C">
            <w:pPr>
              <w:rPr>
                <w:rFonts w:ascii="Times New Roman" w:hAnsi="Times New Roman" w:cs="Times New Roman"/>
                <w:i/>
                <w:sz w:val="24"/>
                <w:szCs w:val="24"/>
              </w:rPr>
            </w:pPr>
          </w:p>
          <w:p w14:paraId="6BC96C6C" w14:textId="77777777" w:rsidR="00E30FBC" w:rsidRPr="000D3717" w:rsidRDefault="00E30FBC" w:rsidP="0080324C">
            <w:pPr>
              <w:rPr>
                <w:rFonts w:ascii="Times New Roman" w:hAnsi="Times New Roman" w:cs="Times New Roman"/>
                <w:i/>
                <w:sz w:val="24"/>
                <w:szCs w:val="24"/>
              </w:rPr>
            </w:pPr>
            <w:r w:rsidRPr="000D3717">
              <w:rPr>
                <w:rFonts w:ascii="Times New Roman" w:hAnsi="Times New Roman" w:cs="Times New Roman"/>
                <w:i/>
                <w:sz w:val="24"/>
                <w:szCs w:val="24"/>
              </w:rPr>
              <w:t>N</w:t>
            </w:r>
            <w:r w:rsidR="00636D91">
              <w:rPr>
                <w:rFonts w:ascii="Times New Roman" w:hAnsi="Times New Roman" w:cs="Times New Roman"/>
                <w:i/>
                <w:sz w:val="24"/>
                <w:szCs w:val="24"/>
              </w:rPr>
              <w:t>ë</w:t>
            </w:r>
            <w:r w:rsidRPr="000D3717">
              <w:rPr>
                <w:rFonts w:ascii="Times New Roman" w:hAnsi="Times New Roman" w:cs="Times New Roman"/>
                <w:i/>
                <w:sz w:val="24"/>
                <w:szCs w:val="24"/>
              </w:rPr>
              <w:t xml:space="preserve"> këtë takim publik morën pjesë rreth 33 t</w:t>
            </w:r>
            <w:r w:rsidR="00636D91">
              <w:rPr>
                <w:rFonts w:ascii="Times New Roman" w:hAnsi="Times New Roman" w:cs="Times New Roman"/>
                <w:i/>
                <w:sz w:val="24"/>
                <w:szCs w:val="24"/>
              </w:rPr>
              <w:t>ë</w:t>
            </w:r>
            <w:r w:rsidRPr="000D3717">
              <w:rPr>
                <w:rFonts w:ascii="Times New Roman" w:hAnsi="Times New Roman" w:cs="Times New Roman"/>
                <w:i/>
                <w:sz w:val="24"/>
                <w:szCs w:val="24"/>
              </w:rPr>
              <w:t xml:space="preserve"> ftuar</w:t>
            </w:r>
            <w:r w:rsidR="00636D91">
              <w:rPr>
                <w:rFonts w:ascii="Times New Roman" w:hAnsi="Times New Roman" w:cs="Times New Roman"/>
                <w:i/>
                <w:sz w:val="24"/>
                <w:szCs w:val="24"/>
              </w:rPr>
              <w:t>,</w:t>
            </w:r>
            <w:r w:rsidRPr="000D3717">
              <w:rPr>
                <w:rFonts w:ascii="Times New Roman" w:hAnsi="Times New Roman" w:cs="Times New Roman"/>
                <w:i/>
                <w:sz w:val="24"/>
                <w:szCs w:val="24"/>
              </w:rPr>
              <w:t xml:space="preserve">  pal</w:t>
            </w:r>
            <w:r w:rsidR="00636D91">
              <w:rPr>
                <w:rFonts w:ascii="Times New Roman" w:hAnsi="Times New Roman" w:cs="Times New Roman"/>
                <w:i/>
                <w:sz w:val="24"/>
                <w:szCs w:val="24"/>
              </w:rPr>
              <w:t>ë</w:t>
            </w:r>
            <w:r w:rsidRPr="000D3717">
              <w:rPr>
                <w:rFonts w:ascii="Times New Roman" w:hAnsi="Times New Roman" w:cs="Times New Roman"/>
                <w:i/>
                <w:sz w:val="24"/>
                <w:szCs w:val="24"/>
              </w:rPr>
              <w:t xml:space="preserve"> t</w:t>
            </w:r>
            <w:r w:rsidR="00636D91">
              <w:rPr>
                <w:rFonts w:ascii="Times New Roman" w:hAnsi="Times New Roman" w:cs="Times New Roman"/>
                <w:i/>
                <w:sz w:val="24"/>
                <w:szCs w:val="24"/>
              </w:rPr>
              <w:t>ë</w:t>
            </w:r>
            <w:r w:rsidRPr="000D3717">
              <w:rPr>
                <w:rFonts w:ascii="Times New Roman" w:hAnsi="Times New Roman" w:cs="Times New Roman"/>
                <w:i/>
                <w:sz w:val="24"/>
                <w:szCs w:val="24"/>
              </w:rPr>
              <w:t xml:space="preserve"> ndryshme t</w:t>
            </w:r>
            <w:r w:rsidR="00636D91">
              <w:rPr>
                <w:rFonts w:ascii="Times New Roman" w:hAnsi="Times New Roman" w:cs="Times New Roman"/>
                <w:i/>
                <w:sz w:val="24"/>
                <w:szCs w:val="24"/>
              </w:rPr>
              <w:t>ë</w:t>
            </w:r>
            <w:r w:rsidRPr="000D3717">
              <w:rPr>
                <w:rFonts w:ascii="Times New Roman" w:hAnsi="Times New Roman" w:cs="Times New Roman"/>
                <w:i/>
                <w:sz w:val="24"/>
                <w:szCs w:val="24"/>
              </w:rPr>
              <w:t xml:space="preserve"> interesit si dhe u dhanë komente lidhur me këto çështje: pozitën dominues, rolin ekzekutiv t</w:t>
            </w:r>
            <w:r w:rsidR="00C422F0">
              <w:rPr>
                <w:rFonts w:ascii="Times New Roman" w:hAnsi="Times New Roman" w:cs="Times New Roman"/>
                <w:i/>
                <w:sz w:val="24"/>
                <w:szCs w:val="24"/>
              </w:rPr>
              <w:t>ë</w:t>
            </w:r>
            <w:r w:rsidRPr="000D3717">
              <w:rPr>
                <w:rFonts w:ascii="Times New Roman" w:hAnsi="Times New Roman" w:cs="Times New Roman"/>
                <w:i/>
                <w:sz w:val="24"/>
                <w:szCs w:val="24"/>
              </w:rPr>
              <w:t xml:space="preserve"> AKK-s</w:t>
            </w:r>
            <w:r w:rsidR="00C422F0">
              <w:rPr>
                <w:rFonts w:ascii="Times New Roman" w:hAnsi="Times New Roman" w:cs="Times New Roman"/>
                <w:i/>
                <w:sz w:val="24"/>
                <w:szCs w:val="24"/>
              </w:rPr>
              <w:t>ë</w:t>
            </w:r>
            <w:r w:rsidRPr="000D3717">
              <w:rPr>
                <w:rFonts w:ascii="Times New Roman" w:hAnsi="Times New Roman" w:cs="Times New Roman"/>
                <w:i/>
                <w:sz w:val="24"/>
                <w:szCs w:val="24"/>
              </w:rPr>
              <w:t xml:space="preserve">, si dhe afateve për nisjen dhe mbylljen e procedurave nga Autoriteti. </w:t>
            </w:r>
          </w:p>
          <w:p w14:paraId="29514A78" w14:textId="77777777" w:rsidR="00E30FBC" w:rsidRPr="000D3717" w:rsidRDefault="00E30FBC" w:rsidP="0080324C">
            <w:pPr>
              <w:rPr>
                <w:rFonts w:ascii="Times New Roman" w:hAnsi="Times New Roman" w:cs="Times New Roman"/>
                <w:i/>
                <w:sz w:val="24"/>
                <w:szCs w:val="24"/>
              </w:rPr>
            </w:pPr>
          </w:p>
          <w:p w14:paraId="2EA2B257" w14:textId="47825A77" w:rsidR="0080324C" w:rsidRPr="000D3717" w:rsidRDefault="0080324C" w:rsidP="0080324C">
            <w:pPr>
              <w:rPr>
                <w:rFonts w:ascii="Times New Roman" w:hAnsi="Times New Roman" w:cs="Times New Roman"/>
                <w:i/>
                <w:sz w:val="24"/>
                <w:szCs w:val="24"/>
              </w:rPr>
            </w:pPr>
            <w:r w:rsidRPr="000D3717">
              <w:rPr>
                <w:rFonts w:ascii="Times New Roman" w:hAnsi="Times New Roman" w:cs="Times New Roman"/>
                <w:i/>
                <w:sz w:val="24"/>
                <w:szCs w:val="24"/>
              </w:rPr>
              <w:t>Pas takimi</w:t>
            </w:r>
            <w:r w:rsidR="004A693C">
              <w:rPr>
                <w:rFonts w:ascii="Times New Roman" w:hAnsi="Times New Roman" w:cs="Times New Roman"/>
                <w:i/>
                <w:sz w:val="24"/>
                <w:szCs w:val="24"/>
              </w:rPr>
              <w:t>t</w:t>
            </w:r>
            <w:r w:rsidRPr="000D3717">
              <w:rPr>
                <w:rFonts w:ascii="Times New Roman" w:hAnsi="Times New Roman" w:cs="Times New Roman"/>
                <w:i/>
                <w:sz w:val="24"/>
                <w:szCs w:val="24"/>
              </w:rPr>
              <w:t xml:space="preserve"> t</w:t>
            </w:r>
            <w:r w:rsidR="00C422F0">
              <w:rPr>
                <w:rFonts w:ascii="Sylfaen" w:hAnsi="Sylfaen" w:cs="Times New Roman"/>
                <w:i/>
                <w:sz w:val="24"/>
                <w:szCs w:val="24"/>
              </w:rPr>
              <w:t>ë</w:t>
            </w:r>
            <w:r w:rsidRPr="000D3717">
              <w:rPr>
                <w:rFonts w:ascii="Times New Roman" w:hAnsi="Times New Roman" w:cs="Times New Roman"/>
                <w:i/>
                <w:sz w:val="24"/>
                <w:szCs w:val="24"/>
              </w:rPr>
              <w:t xml:space="preserve"> par</w:t>
            </w:r>
            <w:r w:rsidR="00C422F0">
              <w:rPr>
                <w:rFonts w:ascii="Times New Roman" w:hAnsi="Times New Roman" w:cs="Times New Roman"/>
                <w:i/>
                <w:sz w:val="24"/>
                <w:szCs w:val="24"/>
              </w:rPr>
              <w:t>ë</w:t>
            </w:r>
            <w:r w:rsidRPr="000D3717">
              <w:rPr>
                <w:rFonts w:ascii="Times New Roman" w:hAnsi="Times New Roman" w:cs="Times New Roman"/>
                <w:i/>
                <w:sz w:val="24"/>
                <w:szCs w:val="24"/>
              </w:rPr>
              <w:t xml:space="preserve"> publik nuk kemi pranuar asnjë koment me shkrim nga palët e interesit.</w:t>
            </w:r>
          </w:p>
          <w:p w14:paraId="32A077CB" w14:textId="77777777" w:rsidR="0080324C" w:rsidRPr="000D3717" w:rsidRDefault="0080324C" w:rsidP="001025C9">
            <w:pPr>
              <w:rPr>
                <w:rFonts w:ascii="Times New Roman" w:hAnsi="Times New Roman" w:cs="Times New Roman"/>
                <w:sz w:val="24"/>
                <w:szCs w:val="24"/>
              </w:rPr>
            </w:pPr>
          </w:p>
          <w:p w14:paraId="51206576" w14:textId="77777777" w:rsidR="00C04536" w:rsidRPr="000D3717" w:rsidRDefault="00C04536" w:rsidP="008D7069">
            <w:pPr>
              <w:rPr>
                <w:rFonts w:ascii="Times New Roman" w:hAnsi="Times New Roman" w:cs="Times New Roman"/>
                <w:b/>
                <w:sz w:val="24"/>
                <w:szCs w:val="24"/>
              </w:rPr>
            </w:pPr>
            <w:r w:rsidRPr="000D3717">
              <w:rPr>
                <w:rFonts w:ascii="Times New Roman" w:hAnsi="Times New Roman" w:cs="Times New Roman"/>
                <w:b/>
                <w:sz w:val="24"/>
                <w:szCs w:val="24"/>
              </w:rPr>
              <w:t>Përgjatë konsultimeve ndërministrore, të cilat janë mbajtur nga data ( ) deri më ( ), janë pranuar këto komente:</w:t>
            </w:r>
          </w:p>
          <w:p w14:paraId="62E13AFA" w14:textId="77777777" w:rsidR="00C04536" w:rsidRPr="000D3717" w:rsidRDefault="00C04536" w:rsidP="008D7069">
            <w:pPr>
              <w:rPr>
                <w:rFonts w:ascii="Times New Roman" w:hAnsi="Times New Roman" w:cs="Times New Roman"/>
                <w:b/>
                <w:sz w:val="24"/>
                <w:szCs w:val="24"/>
              </w:rPr>
            </w:pPr>
            <w:r w:rsidRPr="000D3717">
              <w:rPr>
                <w:rFonts w:ascii="Times New Roman" w:hAnsi="Times New Roman" w:cs="Times New Roman"/>
                <w:b/>
                <w:sz w:val="24"/>
                <w:szCs w:val="24"/>
              </w:rPr>
              <w:t>(Të mbushet pas konsultimeve)</w:t>
            </w:r>
          </w:p>
          <w:p w14:paraId="75A08439" w14:textId="77777777" w:rsidR="00C04536" w:rsidRPr="000D3717" w:rsidRDefault="00C04536" w:rsidP="008D7069">
            <w:pPr>
              <w:rPr>
                <w:rFonts w:ascii="Times New Roman" w:hAnsi="Times New Roman" w:cs="Times New Roman"/>
                <w:b/>
                <w:sz w:val="24"/>
                <w:szCs w:val="24"/>
              </w:rPr>
            </w:pPr>
          </w:p>
          <w:p w14:paraId="29FD8521" w14:textId="77777777" w:rsidR="00C04536" w:rsidRPr="000D3717" w:rsidRDefault="00C04536" w:rsidP="00C04536">
            <w:pPr>
              <w:rPr>
                <w:rFonts w:ascii="Times New Roman" w:hAnsi="Times New Roman" w:cs="Times New Roman"/>
                <w:b/>
                <w:sz w:val="24"/>
                <w:szCs w:val="24"/>
              </w:rPr>
            </w:pPr>
            <w:r w:rsidRPr="000D3717">
              <w:rPr>
                <w:rFonts w:ascii="Times New Roman" w:hAnsi="Times New Roman" w:cs="Times New Roman"/>
                <w:b/>
                <w:sz w:val="24"/>
                <w:szCs w:val="24"/>
              </w:rPr>
              <w:t>Përgjatë konsultimeve publike, të cilat janë mbajtur nga data ( ) deri më ( ), janë pranuar këto komente:</w:t>
            </w:r>
          </w:p>
          <w:p w14:paraId="7DE917BB" w14:textId="77777777" w:rsidR="00C04536" w:rsidRPr="000D3717" w:rsidRDefault="00C04536" w:rsidP="00C04536">
            <w:pPr>
              <w:rPr>
                <w:rFonts w:ascii="Times New Roman" w:hAnsi="Times New Roman" w:cs="Times New Roman"/>
                <w:b/>
                <w:sz w:val="24"/>
                <w:szCs w:val="24"/>
              </w:rPr>
            </w:pPr>
            <w:r w:rsidRPr="000D3717">
              <w:rPr>
                <w:rFonts w:ascii="Times New Roman" w:hAnsi="Times New Roman" w:cs="Times New Roman"/>
                <w:b/>
                <w:sz w:val="24"/>
                <w:szCs w:val="24"/>
              </w:rPr>
              <w:t>(Të mbushet pas konsultimeve)</w:t>
            </w:r>
          </w:p>
          <w:p w14:paraId="72404B7B" w14:textId="77777777" w:rsidR="00C04536" w:rsidRPr="000D3717" w:rsidRDefault="00C04536" w:rsidP="008D7069">
            <w:pPr>
              <w:rPr>
                <w:rFonts w:ascii="Times New Roman" w:hAnsi="Times New Roman" w:cs="Times New Roman"/>
                <w:b/>
                <w:sz w:val="24"/>
                <w:szCs w:val="24"/>
              </w:rPr>
            </w:pPr>
          </w:p>
          <w:p w14:paraId="279C92EA" w14:textId="77777777" w:rsidR="00C04536" w:rsidRPr="000D3717" w:rsidRDefault="00C04536" w:rsidP="008D7069">
            <w:pPr>
              <w:rPr>
                <w:rFonts w:ascii="Times New Roman" w:hAnsi="Times New Roman" w:cs="Times New Roman"/>
                <w:sz w:val="24"/>
                <w:szCs w:val="24"/>
              </w:rPr>
            </w:pPr>
          </w:p>
        </w:tc>
      </w:tr>
      <w:tr w:rsidR="00C966E4" w:rsidRPr="000D3717" w14:paraId="28320D63" w14:textId="77777777" w:rsidTr="008D7069">
        <w:tc>
          <w:tcPr>
            <w:tcW w:w="1795" w:type="dxa"/>
            <w:vMerge/>
          </w:tcPr>
          <w:p w14:paraId="3494A256" w14:textId="77777777" w:rsidR="00C966E4" w:rsidRPr="000D3717" w:rsidRDefault="00C966E4" w:rsidP="008D7069">
            <w:pPr>
              <w:rPr>
                <w:rFonts w:ascii="Times New Roman" w:hAnsi="Times New Roman" w:cs="Times New Roman"/>
                <w:sz w:val="24"/>
                <w:szCs w:val="24"/>
              </w:rPr>
            </w:pPr>
          </w:p>
        </w:tc>
        <w:tc>
          <w:tcPr>
            <w:tcW w:w="8100" w:type="dxa"/>
          </w:tcPr>
          <w:p w14:paraId="452499EE" w14:textId="77777777" w:rsidR="00C966E4" w:rsidRPr="000D3717" w:rsidRDefault="005949DF" w:rsidP="008D7069">
            <w:pPr>
              <w:rPr>
                <w:rFonts w:ascii="Times New Roman" w:hAnsi="Times New Roman" w:cs="Times New Roman"/>
                <w:sz w:val="24"/>
                <w:szCs w:val="24"/>
              </w:rPr>
            </w:pPr>
            <w:r w:rsidRPr="000D3717">
              <w:rPr>
                <w:rFonts w:ascii="Times New Roman" w:hAnsi="Times New Roman" w:cs="Times New Roman"/>
                <w:sz w:val="24"/>
                <w:szCs w:val="24"/>
              </w:rPr>
              <w:t>[</w:t>
            </w:r>
            <w:r w:rsidR="00AE5FC2" w:rsidRPr="000D3717">
              <w:rPr>
                <w:rFonts w:ascii="Times New Roman" w:hAnsi="Times New Roman" w:cs="Times New Roman"/>
                <w:sz w:val="24"/>
                <w:szCs w:val="24"/>
              </w:rPr>
              <w:t xml:space="preserve">Listoni aktivitetet kryesore të konsultimit publik të realizuar. Gjithashtu shënoni datën e fillimit dhe datën e përfundimit të konsultimit publik </w:t>
            </w:r>
            <w:proofErr w:type="spellStart"/>
            <w:r w:rsidR="00AE5FC2" w:rsidRPr="000D3717">
              <w:rPr>
                <w:rFonts w:ascii="Times New Roman" w:hAnsi="Times New Roman" w:cs="Times New Roman"/>
                <w:sz w:val="24"/>
                <w:szCs w:val="24"/>
              </w:rPr>
              <w:t>online</w:t>
            </w:r>
            <w:proofErr w:type="spellEnd"/>
            <w:r w:rsidR="00AE5FC2" w:rsidRPr="000D3717">
              <w:rPr>
                <w:rFonts w:ascii="Times New Roman" w:hAnsi="Times New Roman" w:cs="Times New Roman"/>
                <w:sz w:val="24"/>
                <w:szCs w:val="24"/>
              </w:rPr>
              <w:t xml:space="preserve"> me shkrim.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0D3717">
              <w:rPr>
                <w:rFonts w:ascii="Times New Roman" w:hAnsi="Times New Roman" w:cs="Times New Roman"/>
                <w:sz w:val="24"/>
                <w:szCs w:val="24"/>
              </w:rPr>
              <w:t>.</w:t>
            </w:r>
            <w:r w:rsidRPr="000D3717">
              <w:rPr>
                <w:rFonts w:ascii="Times New Roman" w:hAnsi="Times New Roman" w:cs="Times New Roman"/>
                <w:sz w:val="24"/>
                <w:szCs w:val="24"/>
              </w:rPr>
              <w:t>]</w:t>
            </w:r>
          </w:p>
        </w:tc>
      </w:tr>
      <w:tr w:rsidR="00C966E4" w:rsidRPr="000D3717" w14:paraId="2CFD11DE" w14:textId="77777777" w:rsidTr="008D7069">
        <w:tc>
          <w:tcPr>
            <w:tcW w:w="1795" w:type="dxa"/>
          </w:tcPr>
          <w:p w14:paraId="23386536"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Opsioni i propozuar</w:t>
            </w:r>
          </w:p>
        </w:tc>
        <w:tc>
          <w:tcPr>
            <w:tcW w:w="8100" w:type="dxa"/>
          </w:tcPr>
          <w:p w14:paraId="458F7EB7" w14:textId="6ED56B42" w:rsidR="00C966E4" w:rsidRPr="000D3717" w:rsidRDefault="008B27D7" w:rsidP="008D7069">
            <w:pPr>
              <w:rPr>
                <w:rFonts w:ascii="Times New Roman" w:hAnsi="Times New Roman" w:cs="Times New Roman"/>
                <w:b/>
                <w:sz w:val="24"/>
                <w:szCs w:val="24"/>
              </w:rPr>
            </w:pPr>
            <w:r w:rsidRPr="000D3717">
              <w:rPr>
                <w:rFonts w:ascii="Times New Roman" w:hAnsi="Times New Roman" w:cs="Times New Roman"/>
                <w:b/>
                <w:sz w:val="24"/>
                <w:szCs w:val="24"/>
              </w:rPr>
              <w:t>Opsioni për përmirësimin e zbatimit dhe ekzekutimit - hartimit i Ligjit</w:t>
            </w:r>
            <w:r w:rsidR="008753CB">
              <w:rPr>
                <w:rFonts w:ascii="Times New Roman" w:hAnsi="Times New Roman" w:cs="Times New Roman"/>
                <w:b/>
                <w:sz w:val="24"/>
                <w:szCs w:val="24"/>
              </w:rPr>
              <w:t xml:space="preserve"> të </w:t>
            </w:r>
            <w:r w:rsidRPr="000D3717">
              <w:rPr>
                <w:rFonts w:ascii="Times New Roman" w:hAnsi="Times New Roman" w:cs="Times New Roman"/>
                <w:b/>
                <w:sz w:val="24"/>
                <w:szCs w:val="24"/>
              </w:rPr>
              <w:t>ri për mbrojtjen e konkurrencës.</w:t>
            </w:r>
          </w:p>
        </w:tc>
      </w:tr>
    </w:tbl>
    <w:p w14:paraId="03A32DE5" w14:textId="77777777" w:rsidR="00C966E4" w:rsidRPr="000D3717"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0D3717" w14:paraId="5C63B834" w14:textId="77777777" w:rsidTr="008D7069">
        <w:tc>
          <w:tcPr>
            <w:tcW w:w="9895" w:type="dxa"/>
            <w:gridSpan w:val="2"/>
          </w:tcPr>
          <w:p w14:paraId="26245F2B" w14:textId="77777777" w:rsidR="00C966E4" w:rsidRPr="000D3717" w:rsidRDefault="00AE5FC2" w:rsidP="008D7069">
            <w:pPr>
              <w:rPr>
                <w:rFonts w:ascii="Times New Roman" w:hAnsi="Times New Roman" w:cs="Times New Roman"/>
                <w:b/>
                <w:sz w:val="24"/>
                <w:szCs w:val="24"/>
              </w:rPr>
            </w:pPr>
            <w:r w:rsidRPr="000D3717">
              <w:rPr>
                <w:rFonts w:ascii="Times New Roman" w:hAnsi="Times New Roman" w:cs="Times New Roman"/>
                <w:b/>
                <w:sz w:val="24"/>
                <w:szCs w:val="24"/>
              </w:rPr>
              <w:t>Ndikimet kryesore të pritshme</w:t>
            </w:r>
          </w:p>
        </w:tc>
      </w:tr>
      <w:tr w:rsidR="00C966E4" w:rsidRPr="000D3717" w14:paraId="7D2567AE" w14:textId="77777777" w:rsidTr="008D7069">
        <w:tc>
          <w:tcPr>
            <w:tcW w:w="1795" w:type="dxa"/>
          </w:tcPr>
          <w:p w14:paraId="789E9CF2" w14:textId="77777777" w:rsidR="00C966E4" w:rsidRPr="000D3717" w:rsidRDefault="00AE5FC2" w:rsidP="00AE5FC2">
            <w:pPr>
              <w:rPr>
                <w:rFonts w:ascii="Times New Roman" w:hAnsi="Times New Roman" w:cs="Times New Roman"/>
                <w:sz w:val="24"/>
                <w:szCs w:val="24"/>
              </w:rPr>
            </w:pPr>
            <w:r w:rsidRPr="000D3717">
              <w:rPr>
                <w:rFonts w:ascii="Times New Roman" w:hAnsi="Times New Roman" w:cs="Times New Roman"/>
                <w:sz w:val="24"/>
                <w:szCs w:val="24"/>
              </w:rPr>
              <w:t>Ndikimet buxhetore</w:t>
            </w:r>
          </w:p>
        </w:tc>
        <w:tc>
          <w:tcPr>
            <w:tcW w:w="8100" w:type="dxa"/>
          </w:tcPr>
          <w:p w14:paraId="77F7EBFE" w14:textId="43ED9C7A" w:rsidR="00C966E4" w:rsidRPr="000D3717" w:rsidRDefault="00715002" w:rsidP="00C422F0">
            <w:pPr>
              <w:rPr>
                <w:rFonts w:ascii="Times New Roman" w:hAnsi="Times New Roman" w:cs="Times New Roman"/>
                <w:sz w:val="24"/>
                <w:szCs w:val="24"/>
              </w:rPr>
            </w:pPr>
            <w:r w:rsidRPr="000D3717">
              <w:rPr>
                <w:rFonts w:ascii="Times New Roman" w:hAnsi="Times New Roman" w:cs="Times New Roman"/>
                <w:b/>
                <w:sz w:val="24"/>
                <w:szCs w:val="24"/>
              </w:rPr>
              <w:t>Zbatuar sipas tavanit aktual të buxhetit</w:t>
            </w:r>
            <w:r w:rsidRPr="000D3717">
              <w:rPr>
                <w:rFonts w:ascii="Times New Roman" w:hAnsi="Times New Roman" w:cs="Times New Roman"/>
                <w:sz w:val="24"/>
                <w:szCs w:val="24"/>
              </w:rPr>
              <w:t>. O</w:t>
            </w:r>
            <w:r w:rsidR="0045074B">
              <w:rPr>
                <w:rFonts w:ascii="Times New Roman" w:hAnsi="Times New Roman" w:cs="Times New Roman"/>
                <w:sz w:val="24"/>
                <w:szCs w:val="24"/>
              </w:rPr>
              <w:t>psioni i propozuar mbulohet nga</w:t>
            </w:r>
            <w:r w:rsidR="00C422F0" w:rsidRPr="000D3717">
              <w:rPr>
                <w:rFonts w:ascii="Times New Roman" w:hAnsi="Times New Roman" w:cs="Times New Roman"/>
                <w:sz w:val="24"/>
                <w:szCs w:val="24"/>
              </w:rPr>
              <w:t xml:space="preserve"> </w:t>
            </w:r>
            <w:r w:rsidR="003E1152">
              <w:rPr>
                <w:rFonts w:ascii="Times New Roman" w:hAnsi="Times New Roman" w:cs="Times New Roman"/>
                <w:sz w:val="24"/>
                <w:szCs w:val="24"/>
              </w:rPr>
              <w:t>Buxheti aktual.</w:t>
            </w:r>
          </w:p>
        </w:tc>
      </w:tr>
      <w:tr w:rsidR="00C966E4" w:rsidRPr="000D3717" w14:paraId="37D66DA8" w14:textId="77777777" w:rsidTr="008D7069">
        <w:tc>
          <w:tcPr>
            <w:tcW w:w="1795" w:type="dxa"/>
          </w:tcPr>
          <w:p w14:paraId="1F077A85"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Ndikimet ekonomike</w:t>
            </w:r>
          </w:p>
        </w:tc>
        <w:tc>
          <w:tcPr>
            <w:tcW w:w="8100" w:type="dxa"/>
          </w:tcPr>
          <w:p w14:paraId="7CF400FA" w14:textId="77777777" w:rsidR="00C966E4" w:rsidRPr="000D3717" w:rsidRDefault="00EC67F8" w:rsidP="00EC67F8">
            <w:pPr>
              <w:rPr>
                <w:rFonts w:ascii="Times New Roman" w:hAnsi="Times New Roman" w:cs="Times New Roman"/>
                <w:sz w:val="24"/>
                <w:szCs w:val="24"/>
              </w:rPr>
            </w:pPr>
            <w:r w:rsidRPr="000D3717">
              <w:rPr>
                <w:rFonts w:ascii="Times New Roman" w:hAnsi="Times New Roman" w:cs="Times New Roman"/>
                <w:sz w:val="24"/>
                <w:szCs w:val="24"/>
              </w:rPr>
              <w:t xml:space="preserve">Opsioni i propozuar </w:t>
            </w:r>
            <w:r w:rsidR="00C756B3" w:rsidRPr="000D3717">
              <w:rPr>
                <w:rFonts w:ascii="Times New Roman" w:hAnsi="Times New Roman" w:cs="Times New Roman"/>
                <w:sz w:val="24"/>
                <w:szCs w:val="24"/>
              </w:rPr>
              <w:t xml:space="preserve">në ketë Koncept Dokument </w:t>
            </w:r>
            <w:r w:rsidR="00CB0459" w:rsidRPr="000D3717">
              <w:rPr>
                <w:rFonts w:ascii="Times New Roman" w:hAnsi="Times New Roman" w:cs="Times New Roman"/>
                <w:sz w:val="24"/>
                <w:szCs w:val="24"/>
              </w:rPr>
              <w:t xml:space="preserve">nuk </w:t>
            </w:r>
            <w:r w:rsidRPr="000D3717">
              <w:rPr>
                <w:rFonts w:ascii="Times New Roman" w:hAnsi="Times New Roman" w:cs="Times New Roman"/>
                <w:sz w:val="24"/>
                <w:szCs w:val="24"/>
              </w:rPr>
              <w:t>do të ketë n</w:t>
            </w:r>
            <w:r w:rsidR="00AE5FC2" w:rsidRPr="000D3717">
              <w:rPr>
                <w:rFonts w:ascii="Times New Roman" w:hAnsi="Times New Roman" w:cs="Times New Roman"/>
                <w:sz w:val="24"/>
                <w:szCs w:val="24"/>
              </w:rPr>
              <w:t>dikim</w:t>
            </w:r>
            <w:r w:rsidR="00CB0459" w:rsidRPr="000D3717">
              <w:rPr>
                <w:rFonts w:ascii="Times New Roman" w:hAnsi="Times New Roman" w:cs="Times New Roman"/>
                <w:sz w:val="24"/>
                <w:szCs w:val="24"/>
              </w:rPr>
              <w:t xml:space="preserve"> të drejtpërdrejte</w:t>
            </w:r>
            <w:r w:rsidR="00C756B3" w:rsidRPr="000D3717">
              <w:rPr>
                <w:rFonts w:ascii="Times New Roman" w:hAnsi="Times New Roman" w:cs="Times New Roman"/>
                <w:sz w:val="24"/>
                <w:szCs w:val="24"/>
              </w:rPr>
              <w:t xml:space="preserve"> në</w:t>
            </w:r>
            <w:r w:rsidRPr="000D3717">
              <w:rPr>
                <w:rFonts w:ascii="Times New Roman" w:hAnsi="Times New Roman" w:cs="Times New Roman"/>
                <w:sz w:val="24"/>
                <w:szCs w:val="24"/>
              </w:rPr>
              <w:t xml:space="preserve"> ekonomi (Shiko shtojcën 1)</w:t>
            </w:r>
          </w:p>
        </w:tc>
      </w:tr>
      <w:tr w:rsidR="00C966E4" w:rsidRPr="000D3717" w14:paraId="1C95E928" w14:textId="77777777" w:rsidTr="008D7069">
        <w:tc>
          <w:tcPr>
            <w:tcW w:w="1795" w:type="dxa"/>
          </w:tcPr>
          <w:p w14:paraId="3839A32B"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Ndikimet shoqërore</w:t>
            </w:r>
          </w:p>
        </w:tc>
        <w:tc>
          <w:tcPr>
            <w:tcW w:w="8100" w:type="dxa"/>
          </w:tcPr>
          <w:p w14:paraId="163579FF" w14:textId="77777777" w:rsidR="00C966E4" w:rsidRPr="000D3717" w:rsidRDefault="00C756B3" w:rsidP="008D7069">
            <w:pPr>
              <w:rPr>
                <w:rFonts w:ascii="Times New Roman" w:hAnsi="Times New Roman" w:cs="Times New Roman"/>
                <w:sz w:val="24"/>
                <w:szCs w:val="24"/>
              </w:rPr>
            </w:pPr>
            <w:r w:rsidRPr="000D3717">
              <w:rPr>
                <w:rFonts w:ascii="Times New Roman" w:hAnsi="Times New Roman" w:cs="Times New Roman"/>
                <w:sz w:val="24"/>
                <w:szCs w:val="24"/>
              </w:rPr>
              <w:t xml:space="preserve">Opsioni i propozuar në ketë Koncept Dokument nuk ka ndonjë ndikim të drejtpërdrejtë shoqëror. </w:t>
            </w:r>
          </w:p>
        </w:tc>
      </w:tr>
      <w:tr w:rsidR="00C966E4" w:rsidRPr="000D3717" w14:paraId="76423A56" w14:textId="77777777" w:rsidTr="008D7069">
        <w:tc>
          <w:tcPr>
            <w:tcW w:w="1795" w:type="dxa"/>
          </w:tcPr>
          <w:p w14:paraId="3E1E5BE1"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 xml:space="preserve">Ndikimet </w:t>
            </w:r>
            <w:r w:rsidRPr="000D3717">
              <w:rPr>
                <w:rFonts w:ascii="Times New Roman" w:hAnsi="Times New Roman" w:cs="Times New Roman"/>
                <w:sz w:val="24"/>
                <w:szCs w:val="24"/>
              </w:rPr>
              <w:lastRenderedPageBreak/>
              <w:t>mjedisore</w:t>
            </w:r>
          </w:p>
        </w:tc>
        <w:tc>
          <w:tcPr>
            <w:tcW w:w="8100" w:type="dxa"/>
          </w:tcPr>
          <w:p w14:paraId="2DB790FE" w14:textId="77777777" w:rsidR="00C966E4" w:rsidRPr="000D3717" w:rsidRDefault="007C43E3" w:rsidP="00AE5FC2">
            <w:pPr>
              <w:rPr>
                <w:rFonts w:ascii="Times New Roman" w:hAnsi="Times New Roman" w:cs="Times New Roman"/>
                <w:sz w:val="24"/>
                <w:szCs w:val="24"/>
              </w:rPr>
            </w:pPr>
            <w:r w:rsidRPr="000D3717">
              <w:rPr>
                <w:rFonts w:ascii="Times New Roman" w:hAnsi="Times New Roman" w:cs="Times New Roman"/>
                <w:sz w:val="24"/>
                <w:szCs w:val="24"/>
              </w:rPr>
              <w:lastRenderedPageBreak/>
              <w:t xml:space="preserve">Opsioni i propozuar në ketë Koncept Dokument nuk ka ndonjë ndikim të </w:t>
            </w:r>
            <w:r w:rsidRPr="000D3717">
              <w:rPr>
                <w:rFonts w:ascii="Times New Roman" w:hAnsi="Times New Roman" w:cs="Times New Roman"/>
                <w:sz w:val="24"/>
                <w:szCs w:val="24"/>
              </w:rPr>
              <w:lastRenderedPageBreak/>
              <w:t xml:space="preserve">drejtpërdrejtë mjedisor. </w:t>
            </w:r>
          </w:p>
        </w:tc>
      </w:tr>
      <w:tr w:rsidR="001869E9" w:rsidRPr="000D3717" w14:paraId="2EADD6A6" w14:textId="77777777" w:rsidTr="008D7069">
        <w:tc>
          <w:tcPr>
            <w:tcW w:w="1795" w:type="dxa"/>
          </w:tcPr>
          <w:p w14:paraId="65C4DBD1" w14:textId="77777777" w:rsidR="001869E9" w:rsidRPr="000D3717" w:rsidRDefault="001869E9" w:rsidP="008D7069">
            <w:pPr>
              <w:rPr>
                <w:rFonts w:ascii="Times New Roman" w:hAnsi="Times New Roman" w:cs="Times New Roman"/>
                <w:sz w:val="24"/>
                <w:szCs w:val="24"/>
              </w:rPr>
            </w:pPr>
            <w:r w:rsidRPr="000D3717">
              <w:rPr>
                <w:rFonts w:ascii="Times New Roman" w:hAnsi="Times New Roman" w:cs="Times New Roman"/>
                <w:sz w:val="24"/>
                <w:szCs w:val="24"/>
              </w:rPr>
              <w:lastRenderedPageBreak/>
              <w:t>Ndikimet e të drejtave themelore</w:t>
            </w:r>
          </w:p>
        </w:tc>
        <w:tc>
          <w:tcPr>
            <w:tcW w:w="8100" w:type="dxa"/>
          </w:tcPr>
          <w:p w14:paraId="4C31D464" w14:textId="77777777" w:rsidR="001869E9" w:rsidRPr="000D3717" w:rsidRDefault="001869E9" w:rsidP="00AE5FC2">
            <w:pPr>
              <w:rPr>
                <w:rFonts w:ascii="Times New Roman" w:hAnsi="Times New Roman" w:cs="Times New Roman"/>
                <w:sz w:val="24"/>
                <w:szCs w:val="24"/>
              </w:rPr>
            </w:pPr>
            <w:r w:rsidRPr="000D3717">
              <w:rPr>
                <w:rFonts w:ascii="Times New Roman" w:hAnsi="Times New Roman" w:cs="Times New Roman"/>
                <w:sz w:val="24"/>
                <w:szCs w:val="24"/>
              </w:rPr>
              <w:t xml:space="preserve">Opsioni i propozuar në ketë Koncept Dokument nuk ka ndonjë ndikim të drejtpërdrejtë tek të drejtat themelore. </w:t>
            </w:r>
          </w:p>
        </w:tc>
      </w:tr>
      <w:tr w:rsidR="00C966E4" w:rsidRPr="000D3717" w14:paraId="4C725CE9" w14:textId="77777777" w:rsidTr="008D7069">
        <w:tc>
          <w:tcPr>
            <w:tcW w:w="1795" w:type="dxa"/>
          </w:tcPr>
          <w:p w14:paraId="5E105B5F"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Ndikimet ndër</w:t>
            </w:r>
            <w:r w:rsidR="00730CA6" w:rsidRPr="000D3717">
              <w:rPr>
                <w:rFonts w:ascii="Times New Roman" w:hAnsi="Times New Roman" w:cs="Times New Roman"/>
                <w:sz w:val="24"/>
                <w:szCs w:val="24"/>
              </w:rPr>
              <w:t>-</w:t>
            </w:r>
            <w:r w:rsidRPr="000D3717">
              <w:rPr>
                <w:rFonts w:ascii="Times New Roman" w:hAnsi="Times New Roman" w:cs="Times New Roman"/>
                <w:sz w:val="24"/>
                <w:szCs w:val="24"/>
              </w:rPr>
              <w:t>sektoriale</w:t>
            </w:r>
          </w:p>
        </w:tc>
        <w:tc>
          <w:tcPr>
            <w:tcW w:w="8100" w:type="dxa"/>
          </w:tcPr>
          <w:p w14:paraId="348E26C7" w14:textId="77777777" w:rsidR="00C966E4" w:rsidRPr="000D3717" w:rsidRDefault="007C43E3" w:rsidP="00AE5FC2">
            <w:pPr>
              <w:rPr>
                <w:rFonts w:ascii="Times New Roman" w:hAnsi="Times New Roman" w:cs="Times New Roman"/>
                <w:sz w:val="24"/>
                <w:szCs w:val="24"/>
              </w:rPr>
            </w:pPr>
            <w:r w:rsidRPr="000D3717">
              <w:rPr>
                <w:rFonts w:ascii="Times New Roman" w:hAnsi="Times New Roman" w:cs="Times New Roman"/>
                <w:sz w:val="24"/>
                <w:szCs w:val="24"/>
              </w:rPr>
              <w:t xml:space="preserve">Opsioni i propozuar në ketë Koncept Dokument nuk ka ndonjë ndikim të drejtpërdrejtë ndër-sektoriale. </w:t>
            </w:r>
          </w:p>
        </w:tc>
      </w:tr>
      <w:tr w:rsidR="00C966E4" w:rsidRPr="000D3717" w14:paraId="7F97FF2F" w14:textId="77777777" w:rsidTr="008D7069">
        <w:tc>
          <w:tcPr>
            <w:tcW w:w="1795" w:type="dxa"/>
          </w:tcPr>
          <w:p w14:paraId="5A632E76" w14:textId="77777777" w:rsidR="00C966E4" w:rsidRPr="000D3717" w:rsidRDefault="00674773" w:rsidP="00674773">
            <w:pPr>
              <w:rPr>
                <w:rFonts w:ascii="Times New Roman" w:hAnsi="Times New Roman" w:cs="Times New Roman"/>
                <w:sz w:val="24"/>
                <w:szCs w:val="24"/>
              </w:rPr>
            </w:pPr>
            <w:r w:rsidRPr="000D3717">
              <w:rPr>
                <w:rFonts w:ascii="Times New Roman" w:hAnsi="Times New Roman" w:cs="Times New Roman"/>
                <w:sz w:val="24"/>
                <w:szCs w:val="24"/>
              </w:rPr>
              <w:t xml:space="preserve">Ngarkesat </w:t>
            </w:r>
            <w:r w:rsidR="00AE5FC2" w:rsidRPr="000D3717">
              <w:rPr>
                <w:rFonts w:ascii="Times New Roman" w:hAnsi="Times New Roman" w:cs="Times New Roman"/>
                <w:sz w:val="24"/>
                <w:szCs w:val="24"/>
              </w:rPr>
              <w:t>administrative për kompanitë</w:t>
            </w:r>
          </w:p>
        </w:tc>
        <w:tc>
          <w:tcPr>
            <w:tcW w:w="8100" w:type="dxa"/>
          </w:tcPr>
          <w:p w14:paraId="29FA3A36" w14:textId="4E948C45" w:rsidR="00C966E4" w:rsidRPr="000D3717" w:rsidRDefault="007C43E3" w:rsidP="009C77F2">
            <w:pPr>
              <w:rPr>
                <w:rFonts w:ascii="Times New Roman" w:hAnsi="Times New Roman" w:cs="Times New Roman"/>
                <w:sz w:val="24"/>
                <w:szCs w:val="24"/>
              </w:rPr>
            </w:pPr>
            <w:r w:rsidRPr="000D3717">
              <w:rPr>
                <w:rFonts w:ascii="Times New Roman" w:hAnsi="Times New Roman" w:cs="Times New Roman"/>
                <w:sz w:val="24"/>
                <w:szCs w:val="24"/>
              </w:rPr>
              <w:t xml:space="preserve">Opsioni i propozuar </w:t>
            </w:r>
            <w:r w:rsidR="00AE5FC2" w:rsidRPr="000D3717">
              <w:rPr>
                <w:rFonts w:ascii="Times New Roman" w:hAnsi="Times New Roman" w:cs="Times New Roman"/>
                <w:sz w:val="24"/>
                <w:szCs w:val="24"/>
              </w:rPr>
              <w:t>nuk krijo</w:t>
            </w:r>
            <w:r w:rsidRPr="000D3717">
              <w:rPr>
                <w:rFonts w:ascii="Times New Roman" w:hAnsi="Times New Roman" w:cs="Times New Roman"/>
                <w:sz w:val="24"/>
                <w:szCs w:val="24"/>
              </w:rPr>
              <w:t>n</w:t>
            </w:r>
            <w:r w:rsidR="00AE5FC2" w:rsidRPr="000D3717">
              <w:rPr>
                <w:rFonts w:ascii="Times New Roman" w:hAnsi="Times New Roman" w:cs="Times New Roman"/>
                <w:sz w:val="24"/>
                <w:szCs w:val="24"/>
              </w:rPr>
              <w:t xml:space="preserve"> </w:t>
            </w:r>
            <w:r w:rsidR="00674773" w:rsidRPr="000D3717">
              <w:rPr>
                <w:rFonts w:ascii="Times New Roman" w:hAnsi="Times New Roman" w:cs="Times New Roman"/>
                <w:sz w:val="24"/>
                <w:szCs w:val="24"/>
              </w:rPr>
              <w:t xml:space="preserve">ngarkesa </w:t>
            </w:r>
            <w:r w:rsidR="00AE5FC2" w:rsidRPr="000D3717">
              <w:rPr>
                <w:rFonts w:ascii="Times New Roman" w:hAnsi="Times New Roman" w:cs="Times New Roman"/>
                <w:sz w:val="24"/>
                <w:szCs w:val="24"/>
              </w:rPr>
              <w:t>administrative për kompanitë</w:t>
            </w:r>
          </w:p>
        </w:tc>
      </w:tr>
    </w:tbl>
    <w:p w14:paraId="0525988D" w14:textId="77777777" w:rsidR="00C966E4" w:rsidRPr="000D3717"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0D3717" w14:paraId="304CB933" w14:textId="77777777" w:rsidTr="008D7069">
        <w:tc>
          <w:tcPr>
            <w:tcW w:w="9895" w:type="dxa"/>
            <w:gridSpan w:val="2"/>
          </w:tcPr>
          <w:p w14:paraId="0E5A110C" w14:textId="77777777" w:rsidR="00C966E4" w:rsidRPr="000D3717" w:rsidRDefault="00AE5FC2" w:rsidP="008D7069">
            <w:pPr>
              <w:rPr>
                <w:rFonts w:ascii="Times New Roman" w:hAnsi="Times New Roman" w:cs="Times New Roman"/>
                <w:b/>
                <w:sz w:val="24"/>
                <w:szCs w:val="24"/>
              </w:rPr>
            </w:pPr>
            <w:r w:rsidRPr="000D3717">
              <w:rPr>
                <w:rFonts w:ascii="Times New Roman" w:hAnsi="Times New Roman" w:cs="Times New Roman"/>
                <w:b/>
                <w:sz w:val="24"/>
                <w:szCs w:val="24"/>
              </w:rPr>
              <w:t>Hapat e ardhshëm</w:t>
            </w:r>
          </w:p>
        </w:tc>
      </w:tr>
      <w:tr w:rsidR="00C966E4" w:rsidRPr="000D3717" w14:paraId="4B457D3C" w14:textId="77777777" w:rsidTr="008D7069">
        <w:tc>
          <w:tcPr>
            <w:tcW w:w="1795" w:type="dxa"/>
          </w:tcPr>
          <w:p w14:paraId="0A69AA14"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Afatshkurtër</w:t>
            </w:r>
          </w:p>
        </w:tc>
        <w:tc>
          <w:tcPr>
            <w:tcW w:w="8100" w:type="dxa"/>
          </w:tcPr>
          <w:p w14:paraId="12AE7EDC" w14:textId="083270F1" w:rsidR="00C966E4" w:rsidRPr="000D3717" w:rsidRDefault="00154293" w:rsidP="0045074B">
            <w:pPr>
              <w:rPr>
                <w:rFonts w:ascii="Times New Roman" w:hAnsi="Times New Roman" w:cs="Times New Roman"/>
                <w:sz w:val="24"/>
                <w:szCs w:val="24"/>
              </w:rPr>
            </w:pPr>
            <w:r w:rsidRPr="000D3717">
              <w:rPr>
                <w:rFonts w:ascii="Times New Roman" w:hAnsi="Times New Roman" w:cs="Times New Roman"/>
                <w:sz w:val="24"/>
                <w:szCs w:val="24"/>
              </w:rPr>
              <w:t>Mbas aprovimit të</w:t>
            </w:r>
            <w:r w:rsidR="00B37952" w:rsidRPr="000D3717">
              <w:rPr>
                <w:rFonts w:ascii="Times New Roman" w:hAnsi="Times New Roman" w:cs="Times New Roman"/>
                <w:sz w:val="24"/>
                <w:szCs w:val="24"/>
              </w:rPr>
              <w:t xml:space="preserve"> </w:t>
            </w:r>
            <w:r w:rsidR="00695808" w:rsidRPr="000D3717">
              <w:rPr>
                <w:rFonts w:ascii="Times New Roman" w:hAnsi="Times New Roman" w:cs="Times New Roman"/>
                <w:sz w:val="24"/>
                <w:szCs w:val="24"/>
              </w:rPr>
              <w:t>K</w:t>
            </w:r>
            <w:r w:rsidR="00B37952" w:rsidRPr="000D3717">
              <w:rPr>
                <w:rFonts w:ascii="Times New Roman" w:hAnsi="Times New Roman" w:cs="Times New Roman"/>
                <w:sz w:val="24"/>
                <w:szCs w:val="24"/>
              </w:rPr>
              <w:t>oncept Dokumentit me opsionin e rekomanduar, brenda një</w:t>
            </w:r>
            <w:r w:rsidR="007043E3" w:rsidRPr="000D3717">
              <w:rPr>
                <w:rFonts w:ascii="Times New Roman" w:hAnsi="Times New Roman" w:cs="Times New Roman"/>
                <w:sz w:val="24"/>
                <w:szCs w:val="24"/>
              </w:rPr>
              <w:t xml:space="preserve"> viti do të</w:t>
            </w:r>
            <w:r w:rsidR="0045074B">
              <w:rPr>
                <w:rFonts w:ascii="Times New Roman" w:hAnsi="Times New Roman" w:cs="Times New Roman"/>
                <w:sz w:val="24"/>
                <w:szCs w:val="24"/>
              </w:rPr>
              <w:t xml:space="preserve"> formohet ekipi i ri</w:t>
            </w:r>
            <w:r w:rsidR="00B37952" w:rsidRPr="000D3717">
              <w:rPr>
                <w:rFonts w:ascii="Times New Roman" w:hAnsi="Times New Roman" w:cs="Times New Roman"/>
                <w:sz w:val="24"/>
                <w:szCs w:val="24"/>
              </w:rPr>
              <w:t xml:space="preserve"> nga Ministria e Tregtisë dhe Industrisë, n</w:t>
            </w:r>
            <w:r w:rsidR="00C422F0">
              <w:rPr>
                <w:rFonts w:ascii="Times New Roman" w:hAnsi="Times New Roman" w:cs="Times New Roman"/>
                <w:sz w:val="24"/>
                <w:szCs w:val="24"/>
              </w:rPr>
              <w:t>ë</w:t>
            </w:r>
            <w:r w:rsidR="00B37952" w:rsidRPr="000D3717">
              <w:rPr>
                <w:rFonts w:ascii="Times New Roman" w:hAnsi="Times New Roman" w:cs="Times New Roman"/>
                <w:sz w:val="24"/>
                <w:szCs w:val="24"/>
              </w:rPr>
              <w:t xml:space="preserve"> bashkëpunim me t</w:t>
            </w:r>
            <w:r w:rsidR="00C422F0">
              <w:rPr>
                <w:rFonts w:ascii="Times New Roman" w:hAnsi="Times New Roman" w:cs="Times New Roman"/>
                <w:sz w:val="24"/>
                <w:szCs w:val="24"/>
              </w:rPr>
              <w:t>ë</w:t>
            </w:r>
            <w:r w:rsidR="0045074B">
              <w:rPr>
                <w:rFonts w:ascii="Times New Roman" w:hAnsi="Times New Roman" w:cs="Times New Roman"/>
                <w:sz w:val="24"/>
                <w:szCs w:val="24"/>
              </w:rPr>
              <w:t xml:space="preserve"> gjitha palët e interesit për të filluar punën drejt zbatimit t</w:t>
            </w:r>
            <w:r w:rsidR="00CB0DCF">
              <w:rPr>
                <w:rFonts w:ascii="Times New Roman" w:hAnsi="Times New Roman" w:cs="Times New Roman"/>
                <w:sz w:val="24"/>
                <w:szCs w:val="24"/>
              </w:rPr>
              <w:t>ë</w:t>
            </w:r>
            <w:r w:rsidR="0045074B">
              <w:rPr>
                <w:rFonts w:ascii="Times New Roman" w:hAnsi="Times New Roman" w:cs="Times New Roman"/>
                <w:sz w:val="24"/>
                <w:szCs w:val="24"/>
              </w:rPr>
              <w:t xml:space="preserve"> opsionit të rekomanduar e këtij Koncept Dokumenti. </w:t>
            </w:r>
          </w:p>
        </w:tc>
      </w:tr>
      <w:tr w:rsidR="00C966E4" w:rsidRPr="000D3717" w14:paraId="574BA2A1" w14:textId="77777777" w:rsidTr="008D7069">
        <w:tc>
          <w:tcPr>
            <w:tcW w:w="1795" w:type="dxa"/>
          </w:tcPr>
          <w:p w14:paraId="43E2534B" w14:textId="77777777" w:rsidR="00C966E4" w:rsidRPr="000D3717" w:rsidRDefault="00AE5FC2" w:rsidP="008D7069">
            <w:pPr>
              <w:rPr>
                <w:rFonts w:ascii="Times New Roman" w:hAnsi="Times New Roman" w:cs="Times New Roman"/>
                <w:sz w:val="24"/>
                <w:szCs w:val="24"/>
              </w:rPr>
            </w:pPr>
            <w:r w:rsidRPr="000D3717">
              <w:rPr>
                <w:rFonts w:ascii="Times New Roman" w:hAnsi="Times New Roman" w:cs="Times New Roman"/>
                <w:sz w:val="24"/>
                <w:szCs w:val="24"/>
              </w:rPr>
              <w:t>Afatmesëm</w:t>
            </w:r>
          </w:p>
        </w:tc>
        <w:tc>
          <w:tcPr>
            <w:tcW w:w="8100" w:type="dxa"/>
          </w:tcPr>
          <w:p w14:paraId="5CA23EAF" w14:textId="3A124553" w:rsidR="00C966E4" w:rsidRPr="000D3717" w:rsidRDefault="00154293" w:rsidP="009C77F2">
            <w:pPr>
              <w:rPr>
                <w:rFonts w:ascii="Times New Roman" w:hAnsi="Times New Roman" w:cs="Times New Roman"/>
                <w:sz w:val="24"/>
                <w:szCs w:val="24"/>
              </w:rPr>
            </w:pPr>
            <w:r w:rsidRPr="000D3717">
              <w:rPr>
                <w:rFonts w:ascii="Times New Roman" w:hAnsi="Times New Roman" w:cs="Times New Roman"/>
                <w:sz w:val="24"/>
                <w:szCs w:val="24"/>
              </w:rPr>
              <w:t xml:space="preserve">Me rastin e aprovimit të Koncept Dokumentit në fushën e Konkurrencës me opsionin e rekomanduar, pas një viti pritet të </w:t>
            </w:r>
            <w:r w:rsidR="00133511">
              <w:rPr>
                <w:rFonts w:ascii="Times New Roman" w:hAnsi="Times New Roman" w:cs="Times New Roman"/>
                <w:sz w:val="24"/>
                <w:szCs w:val="24"/>
              </w:rPr>
              <w:t>hartohet</w:t>
            </w:r>
            <w:r w:rsidRPr="000D3717">
              <w:rPr>
                <w:rFonts w:ascii="Times New Roman" w:hAnsi="Times New Roman" w:cs="Times New Roman"/>
                <w:sz w:val="24"/>
                <w:szCs w:val="24"/>
              </w:rPr>
              <w:t xml:space="preserve"> Ligji</w:t>
            </w:r>
            <w:r w:rsidR="0045074B">
              <w:rPr>
                <w:rFonts w:ascii="Times New Roman" w:hAnsi="Times New Roman" w:cs="Times New Roman"/>
                <w:sz w:val="24"/>
                <w:szCs w:val="24"/>
              </w:rPr>
              <w:t xml:space="preserve"> i ri</w:t>
            </w:r>
            <w:r w:rsidR="00695808" w:rsidRPr="000D3717">
              <w:rPr>
                <w:rFonts w:ascii="Times New Roman" w:hAnsi="Times New Roman" w:cs="Times New Roman"/>
                <w:sz w:val="24"/>
                <w:szCs w:val="24"/>
              </w:rPr>
              <w:t xml:space="preserve"> për Mbrojtjen e Konkurrencës</w:t>
            </w:r>
            <w:r w:rsidRPr="000D3717">
              <w:rPr>
                <w:rFonts w:ascii="Times New Roman" w:hAnsi="Times New Roman" w:cs="Times New Roman"/>
                <w:sz w:val="24"/>
                <w:szCs w:val="24"/>
              </w:rPr>
              <w:t xml:space="preserve"> dhe të hyj në fuqi me 1 Janar 2020. Nga dy deri në pesë vitet e ardhshme, do të sigurohet zbatimi i p</w:t>
            </w:r>
            <w:r w:rsidR="00E408AD" w:rsidRPr="000D3717">
              <w:rPr>
                <w:rFonts w:ascii="Times New Roman" w:hAnsi="Times New Roman" w:cs="Times New Roman"/>
                <w:sz w:val="24"/>
                <w:szCs w:val="24"/>
              </w:rPr>
              <w:t>lot</w:t>
            </w:r>
            <w:r w:rsidRPr="000D3717">
              <w:rPr>
                <w:rFonts w:ascii="Times New Roman" w:hAnsi="Times New Roman" w:cs="Times New Roman"/>
                <w:sz w:val="24"/>
                <w:szCs w:val="24"/>
              </w:rPr>
              <w:t xml:space="preserve">ë i Ligjit të Ri nëpërmjet mekanizmave adekuate dhe akteve nënligjore. </w:t>
            </w:r>
          </w:p>
        </w:tc>
      </w:tr>
    </w:tbl>
    <w:p w14:paraId="0BAAD947" w14:textId="77777777" w:rsidR="00C966E4" w:rsidRPr="000D3717" w:rsidRDefault="00C966E4" w:rsidP="00C966E4">
      <w:pPr>
        <w:rPr>
          <w:rFonts w:ascii="Times New Roman" w:hAnsi="Times New Roman" w:cs="Times New Roman"/>
          <w:sz w:val="24"/>
          <w:szCs w:val="24"/>
        </w:rPr>
      </w:pPr>
    </w:p>
    <w:p w14:paraId="345E23A7" w14:textId="77777777" w:rsidR="00A22B1A" w:rsidRPr="000D3717" w:rsidRDefault="00A22B1A">
      <w:pPr>
        <w:rPr>
          <w:rFonts w:ascii="Times New Roman" w:hAnsi="Times New Roman" w:cs="Times New Roman"/>
          <w:sz w:val="24"/>
          <w:szCs w:val="24"/>
        </w:rPr>
      </w:pPr>
      <w:r w:rsidRPr="000D3717">
        <w:rPr>
          <w:rFonts w:ascii="Times New Roman" w:hAnsi="Times New Roman" w:cs="Times New Roman"/>
          <w:sz w:val="24"/>
          <w:szCs w:val="24"/>
        </w:rPr>
        <w:br w:type="page"/>
      </w:r>
    </w:p>
    <w:p w14:paraId="1A8A939D" w14:textId="77777777" w:rsidR="0075339D" w:rsidRDefault="00180BB0" w:rsidP="00A61B6E">
      <w:pPr>
        <w:pStyle w:val="Heading1"/>
        <w:rPr>
          <w:rFonts w:ascii="Times New Roman" w:hAnsi="Times New Roman" w:cs="Times New Roman"/>
          <w:sz w:val="24"/>
          <w:szCs w:val="24"/>
        </w:rPr>
      </w:pPr>
      <w:bookmarkStart w:id="1" w:name="_Toc532388151"/>
      <w:r w:rsidRPr="000D3717">
        <w:rPr>
          <w:rFonts w:ascii="Times New Roman" w:hAnsi="Times New Roman" w:cs="Times New Roman"/>
          <w:sz w:val="24"/>
          <w:szCs w:val="24"/>
        </w:rPr>
        <w:lastRenderedPageBreak/>
        <w:t>Hyrje</w:t>
      </w:r>
      <w:bookmarkEnd w:id="1"/>
    </w:p>
    <w:p w14:paraId="08DDA8AE" w14:textId="77777777" w:rsidR="00ED2DA2" w:rsidRPr="005B54DA" w:rsidRDefault="00ED2DA2" w:rsidP="005B54DA"/>
    <w:p w14:paraId="514DAE9F" w14:textId="77777777" w:rsidR="0068309A" w:rsidRPr="000D3717" w:rsidRDefault="0068309A" w:rsidP="005D592D">
      <w:pPr>
        <w:shd w:val="clear" w:color="auto" w:fill="FFFFFF"/>
        <w:spacing w:after="0" w:line="24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Me Ligjin Nr. 03/L-229 për Mbrojtjen e Konkurrencës përcaktohen rregullat dhe masat për mbrojtjen e konkurrencës së lirë dhe efektive në treg, kompetencat, organizimi i Autoritetit për mbrojtjen e konkurrencës si dhe procedurat </w:t>
      </w:r>
      <w:r w:rsidR="004A29AA">
        <w:rPr>
          <w:rFonts w:ascii="Times New Roman" w:hAnsi="Times New Roman" w:cs="Times New Roman"/>
          <w:sz w:val="24"/>
          <w:szCs w:val="24"/>
        </w:rPr>
        <w:t>për</w:t>
      </w:r>
      <w:r w:rsidRPr="000D3717">
        <w:rPr>
          <w:rFonts w:ascii="Times New Roman" w:hAnsi="Times New Roman" w:cs="Times New Roman"/>
          <w:sz w:val="24"/>
          <w:szCs w:val="24"/>
        </w:rPr>
        <w:t xml:space="preserve"> zbatim të këtij ligji. Ky ligj zbatohet për të gjitha format e parandalimit, kufizimit ose keqpërdorimit të konkurrencës nga ndërmarrjet, në territorin e Republikës së Kosovës ose jashtë territorit të Kosovës, nëse këto veprime kanë efekte  në Kosovë:</w:t>
      </w:r>
    </w:p>
    <w:p w14:paraId="2C30F9A2" w14:textId="77777777" w:rsidR="0068309A" w:rsidRPr="000D3717" w:rsidRDefault="004D51CB" w:rsidP="005D592D">
      <w:pPr>
        <w:pStyle w:val="ListParagraph"/>
        <w:numPr>
          <w:ilvl w:val="0"/>
          <w:numId w:val="13"/>
        </w:numPr>
        <w:shd w:val="clear" w:color="auto" w:fill="FFFFFF"/>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inline distT="0" distB="0" distL="0" distR="0" wp14:anchorId="5BB9E33C" wp14:editId="054F510A">
                <wp:extent cx="302260" cy="302260"/>
                <wp:effectExtent l="0" t="2540" r="2540" b="0"/>
                <wp:docPr id="4" name="Rectangle 4"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7A95E0" id="Rectangle 4"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Rj18hN8CAAABBgAADgAAAAAAAAAAAAAAAAAuAgAA&#10;ZHJzL2Uyb0RvYy54bWxQSwECLQAUAAYACAAAACEAAp1VeNkAAAADAQAADwAAAAAAAAAAAAAAAAA5&#10;BQAAZHJzL2Rvd25yZXYueG1sUEsFBgAAAAAEAAQA8wAAAD8GAAAAAA==&#10;" filled="f" stroked="f">
                <o:lock v:ext="edit" aspectratio="t"/>
                <w10:anchorlock/>
              </v:rect>
            </w:pict>
          </mc:Fallback>
        </mc:AlternateContent>
      </w:r>
      <w:r w:rsidR="0068309A" w:rsidRPr="000D3717">
        <w:rPr>
          <w:rFonts w:ascii="Times New Roman" w:hAnsi="Times New Roman" w:cs="Times New Roman"/>
          <w:sz w:val="24"/>
          <w:szCs w:val="24"/>
        </w:rPr>
        <w:t>Marrëveshjet e ndaluara në formën e karteleve</w:t>
      </w:r>
      <w:r w:rsidR="00ED78EF">
        <w:rPr>
          <w:rFonts w:ascii="Times New Roman" w:hAnsi="Times New Roman" w:cs="Times New Roman"/>
          <w:sz w:val="24"/>
          <w:szCs w:val="24"/>
        </w:rPr>
        <w:t>;</w:t>
      </w:r>
    </w:p>
    <w:p w14:paraId="6DE57698" w14:textId="77777777" w:rsidR="0068309A" w:rsidRPr="000D3717" w:rsidRDefault="004D51CB" w:rsidP="005D592D">
      <w:pPr>
        <w:pStyle w:val="ListParagraph"/>
        <w:numPr>
          <w:ilvl w:val="0"/>
          <w:numId w:val="13"/>
        </w:numPr>
        <w:shd w:val="clear" w:color="auto" w:fill="FFFFFF"/>
        <w:spacing w:after="15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inline distT="0" distB="0" distL="0" distR="0" wp14:anchorId="4EE490BF" wp14:editId="3191DE5B">
                <wp:extent cx="302260" cy="302260"/>
                <wp:effectExtent l="0" t="0" r="2540" b="0"/>
                <wp:docPr id="3" name="Rectangle 3"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E7C194" id="Rectangle 3"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CGdxDrgAgAAAQYAAA4AAAAAAAAAAAAAAAAALgIA&#10;AGRycy9lMm9Eb2MueG1sUEsBAi0AFAAGAAgAAAAhAAKdVXjZAAAAAwEAAA8AAAAAAAAAAAAAAAAA&#10;OgUAAGRycy9kb3ducmV2LnhtbFBLBQYAAAAABAAEAPMAAABABgAAAAA=&#10;" filled="f" stroked="f">
                <o:lock v:ext="edit" aspectratio="t"/>
                <w10:anchorlock/>
              </v:rect>
            </w:pict>
          </mc:Fallback>
        </mc:AlternateContent>
      </w:r>
      <w:r w:rsidR="0068309A" w:rsidRPr="000D3717">
        <w:rPr>
          <w:rFonts w:ascii="Times New Roman" w:hAnsi="Times New Roman" w:cs="Times New Roman"/>
          <w:sz w:val="24"/>
          <w:szCs w:val="24"/>
        </w:rPr>
        <w:t>Abuzimi me pozitën dominuese</w:t>
      </w:r>
      <w:r w:rsidR="00ED78EF">
        <w:rPr>
          <w:rFonts w:ascii="Times New Roman" w:hAnsi="Times New Roman" w:cs="Times New Roman"/>
          <w:sz w:val="24"/>
          <w:szCs w:val="24"/>
        </w:rPr>
        <w:t>;</w:t>
      </w:r>
    </w:p>
    <w:p w14:paraId="17038EA5" w14:textId="77777777" w:rsidR="0068309A" w:rsidRPr="000D3717" w:rsidRDefault="004D51CB" w:rsidP="005D592D">
      <w:pPr>
        <w:pStyle w:val="ListParagraph"/>
        <w:numPr>
          <w:ilvl w:val="0"/>
          <w:numId w:val="13"/>
        </w:numPr>
        <w:shd w:val="clear" w:color="auto" w:fill="FFFFFF"/>
        <w:spacing w:after="15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inline distT="0" distB="0" distL="0" distR="0" wp14:anchorId="440C2346" wp14:editId="20B20295">
                <wp:extent cx="302260" cy="302260"/>
                <wp:effectExtent l="0" t="1905" r="2540" b="635"/>
                <wp:docPr id="2" name="Rectangle 2"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641A46" id="Rectangle 2"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m8pcQN8CAAABBgAADgAAAAAAAAAAAAAAAAAuAgAA&#10;ZHJzL2Uyb0RvYy54bWxQSwECLQAUAAYACAAAACEAAp1VeNkAAAADAQAADwAAAAAAAAAAAAAAAAA5&#10;BQAAZHJzL2Rvd25yZXYueG1sUEsFBgAAAAAEAAQA8wAAAD8GAAAAAA==&#10;" filled="f" stroked="f">
                <o:lock v:ext="edit" aspectratio="t"/>
                <w10:anchorlock/>
              </v:rect>
            </w:pict>
          </mc:Fallback>
        </mc:AlternateContent>
      </w:r>
      <w:r w:rsidR="0068309A" w:rsidRPr="000D3717">
        <w:rPr>
          <w:rFonts w:ascii="Times New Roman" w:hAnsi="Times New Roman" w:cs="Times New Roman"/>
          <w:sz w:val="24"/>
          <w:szCs w:val="24"/>
        </w:rPr>
        <w:t>Përqendrimet/Bashkimet e ndërmarrjeve</w:t>
      </w:r>
      <w:r w:rsidR="00ED78EF">
        <w:rPr>
          <w:rFonts w:ascii="Times New Roman" w:hAnsi="Times New Roman" w:cs="Times New Roman"/>
          <w:sz w:val="24"/>
          <w:szCs w:val="24"/>
        </w:rPr>
        <w:t>.</w:t>
      </w:r>
    </w:p>
    <w:p w14:paraId="7E84194B" w14:textId="77777777" w:rsidR="00AA1ECC" w:rsidRPr="000D3717" w:rsidRDefault="00AA1ECC" w:rsidP="00695808">
      <w:pPr>
        <w:pStyle w:val="ListParagraph"/>
        <w:shd w:val="clear" w:color="auto" w:fill="FFFFFF"/>
        <w:spacing w:after="150" w:line="240" w:lineRule="auto"/>
        <w:rPr>
          <w:rFonts w:ascii="Times New Roman" w:hAnsi="Times New Roman" w:cs="Times New Roman"/>
          <w:sz w:val="24"/>
          <w:szCs w:val="24"/>
        </w:rPr>
      </w:pPr>
    </w:p>
    <w:p w14:paraId="2CCB4BC8" w14:textId="77777777" w:rsidR="0068309A" w:rsidRPr="000D3717" w:rsidRDefault="0068309A" w:rsidP="005D592D">
      <w:pPr>
        <w:shd w:val="clear" w:color="auto" w:fill="FFFFFF"/>
        <w:spacing w:after="150" w:line="24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Vendosja e konkurrencës së lirë dhe mbrojtja e saj janë një segment </w:t>
      </w:r>
      <w:r w:rsidR="00E56413" w:rsidRPr="000D3717">
        <w:rPr>
          <w:rFonts w:ascii="Times New Roman" w:hAnsi="Times New Roman" w:cs="Times New Roman"/>
          <w:sz w:val="24"/>
          <w:szCs w:val="24"/>
        </w:rPr>
        <w:t>i rëndësishëm</w:t>
      </w:r>
      <w:r w:rsidRPr="000D3717">
        <w:rPr>
          <w:rFonts w:ascii="Times New Roman" w:hAnsi="Times New Roman" w:cs="Times New Roman"/>
          <w:sz w:val="24"/>
          <w:szCs w:val="24"/>
        </w:rPr>
        <w:t xml:space="preserve"> për ekzistimin e ekonomisë së të tregut dhe se konkurrenca zënë vend të rëndësishëm në politikat ekonomike. Ky institucion e koncepton funksionimin e tij si nxitës dhe </w:t>
      </w:r>
      <w:r w:rsidR="00E56413" w:rsidRPr="000D3717">
        <w:rPr>
          <w:rFonts w:ascii="Times New Roman" w:hAnsi="Times New Roman" w:cs="Times New Roman"/>
          <w:sz w:val="24"/>
          <w:szCs w:val="24"/>
        </w:rPr>
        <w:t>“</w:t>
      </w:r>
      <w:r w:rsidRPr="000D3717">
        <w:rPr>
          <w:rFonts w:ascii="Times New Roman" w:hAnsi="Times New Roman" w:cs="Times New Roman"/>
          <w:sz w:val="24"/>
          <w:szCs w:val="24"/>
        </w:rPr>
        <w:t>avokat</w:t>
      </w:r>
      <w:r w:rsidR="00E56413" w:rsidRPr="000D3717">
        <w:rPr>
          <w:rFonts w:ascii="Times New Roman" w:hAnsi="Times New Roman" w:cs="Times New Roman"/>
          <w:sz w:val="24"/>
          <w:szCs w:val="24"/>
        </w:rPr>
        <w:t>”</w:t>
      </w:r>
      <w:r w:rsidRPr="000D3717">
        <w:rPr>
          <w:rFonts w:ascii="Times New Roman" w:hAnsi="Times New Roman" w:cs="Times New Roman"/>
          <w:sz w:val="24"/>
          <w:szCs w:val="24"/>
        </w:rPr>
        <w:t xml:space="preserve"> i konkurrencës dhe i interesave të konsumatorit dhe bizneseve, me synim final që tregu të </w:t>
      </w:r>
      <w:proofErr w:type="spellStart"/>
      <w:r w:rsidRPr="000D3717">
        <w:rPr>
          <w:rFonts w:ascii="Times New Roman" w:hAnsi="Times New Roman" w:cs="Times New Roman"/>
          <w:sz w:val="24"/>
          <w:szCs w:val="24"/>
        </w:rPr>
        <w:t>gjeneroje</w:t>
      </w:r>
      <w:proofErr w:type="spellEnd"/>
      <w:r w:rsidRPr="000D3717">
        <w:rPr>
          <w:rFonts w:ascii="Times New Roman" w:hAnsi="Times New Roman" w:cs="Times New Roman"/>
          <w:sz w:val="24"/>
          <w:szCs w:val="24"/>
        </w:rPr>
        <w:t xml:space="preserve"> zhvillimin.</w:t>
      </w:r>
    </w:p>
    <w:p w14:paraId="0E27031D" w14:textId="1223885F" w:rsidR="00121004" w:rsidRPr="000D3717" w:rsidRDefault="0068309A" w:rsidP="005D592D">
      <w:pPr>
        <w:shd w:val="clear" w:color="auto" w:fill="FFFFFF"/>
        <w:spacing w:after="150" w:line="24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Ministria e Tregtisë dhe Industrisë është përgjegjëse për </w:t>
      </w:r>
      <w:r w:rsidR="00E56413" w:rsidRPr="000D3717">
        <w:rPr>
          <w:rFonts w:ascii="Times New Roman" w:hAnsi="Times New Roman" w:cs="Times New Roman"/>
          <w:sz w:val="24"/>
          <w:szCs w:val="24"/>
        </w:rPr>
        <w:t>hartimin</w:t>
      </w:r>
      <w:r w:rsidRPr="000D3717">
        <w:rPr>
          <w:rFonts w:ascii="Times New Roman" w:hAnsi="Times New Roman" w:cs="Times New Roman"/>
          <w:sz w:val="24"/>
          <w:szCs w:val="24"/>
        </w:rPr>
        <w:t xml:space="preserve"> e kornizës ligjore për fushën e Konkurrencës. </w:t>
      </w:r>
      <w:r w:rsidR="00121004" w:rsidRPr="000D3717">
        <w:rPr>
          <w:rFonts w:ascii="Times New Roman" w:hAnsi="Times New Roman" w:cs="Times New Roman"/>
          <w:sz w:val="24"/>
          <w:szCs w:val="24"/>
        </w:rPr>
        <w:t>Në kuadër të strukturës organizative të Ministrisë së Tregtisë dhe Industrisë është Departamenti për Integrime Evropiane dhe Koordinim të Politikave, që është përgjegjës për hartimin e Koncept Dokumenteve. Në bashkëpunim me Autoritetin Kosovar të Konkurrencës</w:t>
      </w:r>
      <w:r w:rsidR="00F04F38" w:rsidRPr="000D3717">
        <w:rPr>
          <w:rFonts w:ascii="Times New Roman" w:hAnsi="Times New Roman" w:cs="Times New Roman"/>
          <w:sz w:val="24"/>
          <w:szCs w:val="24"/>
        </w:rPr>
        <w:t xml:space="preserve">, ministritë relevante </w:t>
      </w:r>
      <w:r w:rsidR="00121004" w:rsidRPr="000D3717">
        <w:rPr>
          <w:rFonts w:ascii="Times New Roman" w:hAnsi="Times New Roman" w:cs="Times New Roman"/>
          <w:sz w:val="24"/>
          <w:szCs w:val="24"/>
        </w:rPr>
        <w:t>dhe palët e interesit është arritur në përfundim se Ligji Nr. 03/L-229 për Mbrojtjen e Konkurrencës ka nevojë për ndryshime</w:t>
      </w:r>
      <w:r w:rsidR="00F04F38" w:rsidRPr="000D3717">
        <w:rPr>
          <w:rFonts w:ascii="Times New Roman" w:hAnsi="Times New Roman" w:cs="Times New Roman"/>
          <w:sz w:val="24"/>
          <w:szCs w:val="24"/>
        </w:rPr>
        <w:t xml:space="preserve"> ose </w:t>
      </w:r>
      <w:r w:rsidR="001E610B" w:rsidRPr="000D3717">
        <w:rPr>
          <w:rFonts w:ascii="Times New Roman" w:hAnsi="Times New Roman" w:cs="Times New Roman"/>
          <w:sz w:val="24"/>
          <w:szCs w:val="24"/>
        </w:rPr>
        <w:t>hartimin</w:t>
      </w:r>
      <w:r w:rsidR="00121004" w:rsidRPr="000D3717">
        <w:rPr>
          <w:rFonts w:ascii="Times New Roman" w:hAnsi="Times New Roman" w:cs="Times New Roman"/>
          <w:sz w:val="24"/>
          <w:szCs w:val="24"/>
        </w:rPr>
        <w:t xml:space="preserve"> </w:t>
      </w:r>
      <w:r w:rsidR="001E610B" w:rsidRPr="000D3717">
        <w:rPr>
          <w:rFonts w:ascii="Times New Roman" w:hAnsi="Times New Roman" w:cs="Times New Roman"/>
          <w:sz w:val="24"/>
          <w:szCs w:val="24"/>
        </w:rPr>
        <w:t>e</w:t>
      </w:r>
      <w:r w:rsidR="00121004" w:rsidRPr="000D3717">
        <w:rPr>
          <w:rFonts w:ascii="Times New Roman" w:hAnsi="Times New Roman" w:cs="Times New Roman"/>
          <w:sz w:val="24"/>
          <w:szCs w:val="24"/>
        </w:rPr>
        <w:t xml:space="preserve"> një ligji të ri në mënyrë që të </w:t>
      </w:r>
      <w:r w:rsidR="00F04F38" w:rsidRPr="000D3717">
        <w:rPr>
          <w:rFonts w:ascii="Times New Roman" w:hAnsi="Times New Roman" w:cs="Times New Roman"/>
          <w:sz w:val="24"/>
          <w:szCs w:val="24"/>
        </w:rPr>
        <w:t xml:space="preserve">përmirësoj efikasitetin e Autoriteti dhe të </w:t>
      </w:r>
      <w:r w:rsidR="00121004" w:rsidRPr="000D3717">
        <w:rPr>
          <w:rFonts w:ascii="Times New Roman" w:hAnsi="Times New Roman" w:cs="Times New Roman"/>
          <w:sz w:val="24"/>
          <w:szCs w:val="24"/>
        </w:rPr>
        <w:t>adresoj më mirë nevojat e tregut në fushën e konkurrencës.</w:t>
      </w:r>
      <w:r w:rsidR="009E7B80" w:rsidRPr="000D3717">
        <w:rPr>
          <w:rFonts w:ascii="Times New Roman" w:hAnsi="Times New Roman" w:cs="Times New Roman"/>
          <w:sz w:val="24"/>
          <w:szCs w:val="24"/>
        </w:rPr>
        <w:t xml:space="preserve"> </w:t>
      </w:r>
      <w:r w:rsidR="0098456D" w:rsidRPr="000D3717">
        <w:rPr>
          <w:rFonts w:ascii="Times New Roman" w:hAnsi="Times New Roman" w:cs="Times New Roman"/>
          <w:sz w:val="24"/>
          <w:szCs w:val="24"/>
        </w:rPr>
        <w:t>Andaj</w:t>
      </w:r>
      <w:r w:rsidR="00053F90" w:rsidRPr="000D3717">
        <w:rPr>
          <w:rFonts w:ascii="Times New Roman" w:hAnsi="Times New Roman" w:cs="Times New Roman"/>
          <w:sz w:val="24"/>
          <w:szCs w:val="24"/>
        </w:rPr>
        <w:t>,</w:t>
      </w:r>
      <w:r w:rsidR="0098456D" w:rsidRPr="000D3717">
        <w:rPr>
          <w:rFonts w:ascii="Times New Roman" w:hAnsi="Times New Roman" w:cs="Times New Roman"/>
          <w:sz w:val="24"/>
          <w:szCs w:val="24"/>
        </w:rPr>
        <w:t xml:space="preserve"> me datë 15 </w:t>
      </w:r>
      <w:r w:rsidR="00ED78EF">
        <w:rPr>
          <w:rFonts w:ascii="Times New Roman" w:hAnsi="Times New Roman" w:cs="Times New Roman"/>
          <w:sz w:val="24"/>
          <w:szCs w:val="24"/>
        </w:rPr>
        <w:t>m</w:t>
      </w:r>
      <w:r w:rsidR="0098456D" w:rsidRPr="000D3717">
        <w:rPr>
          <w:rFonts w:ascii="Times New Roman" w:hAnsi="Times New Roman" w:cs="Times New Roman"/>
          <w:sz w:val="24"/>
          <w:szCs w:val="24"/>
        </w:rPr>
        <w:t>aj 2018</w:t>
      </w:r>
      <w:r w:rsidR="00CB0DCF">
        <w:rPr>
          <w:rFonts w:ascii="Times New Roman" w:hAnsi="Times New Roman" w:cs="Times New Roman"/>
          <w:sz w:val="24"/>
          <w:szCs w:val="24"/>
        </w:rPr>
        <w:t>, me</w:t>
      </w:r>
      <w:r w:rsidR="00ED78EF">
        <w:rPr>
          <w:rFonts w:ascii="Times New Roman" w:hAnsi="Times New Roman" w:cs="Times New Roman"/>
          <w:sz w:val="24"/>
          <w:szCs w:val="24"/>
        </w:rPr>
        <w:t xml:space="preserve"> numër të protokollit 853</w:t>
      </w:r>
      <w:r w:rsidR="0098456D" w:rsidRPr="000D3717">
        <w:rPr>
          <w:rFonts w:ascii="Times New Roman" w:hAnsi="Times New Roman" w:cs="Times New Roman"/>
          <w:sz w:val="24"/>
          <w:szCs w:val="24"/>
        </w:rPr>
        <w:t xml:space="preserve"> </w:t>
      </w:r>
      <w:r w:rsidR="00ED78EF">
        <w:rPr>
          <w:rFonts w:ascii="Times New Roman" w:hAnsi="Times New Roman" w:cs="Times New Roman"/>
          <w:sz w:val="24"/>
          <w:szCs w:val="24"/>
        </w:rPr>
        <w:t xml:space="preserve">Sekretari i Përgjithshëm i MTI-së ka </w:t>
      </w:r>
      <w:r w:rsidR="0098456D" w:rsidRPr="000D3717">
        <w:rPr>
          <w:rFonts w:ascii="Times New Roman" w:hAnsi="Times New Roman" w:cs="Times New Roman"/>
          <w:sz w:val="24"/>
          <w:szCs w:val="24"/>
        </w:rPr>
        <w:t>formuar grupi</w:t>
      </w:r>
      <w:r w:rsidR="00ED78EF">
        <w:rPr>
          <w:rFonts w:ascii="Times New Roman" w:hAnsi="Times New Roman" w:cs="Times New Roman"/>
          <w:sz w:val="24"/>
          <w:szCs w:val="24"/>
        </w:rPr>
        <w:t>n</w:t>
      </w:r>
      <w:r w:rsidR="0098456D" w:rsidRPr="000D3717">
        <w:rPr>
          <w:rFonts w:ascii="Times New Roman" w:hAnsi="Times New Roman" w:cs="Times New Roman"/>
          <w:sz w:val="24"/>
          <w:szCs w:val="24"/>
        </w:rPr>
        <w:t xml:space="preserve"> punues për hartimin e draftit fillestar të Koncept Dokumentit në Fushën e Konkurrencës</w:t>
      </w:r>
      <w:r w:rsidR="00ED78EF">
        <w:rPr>
          <w:rFonts w:ascii="Times New Roman" w:hAnsi="Times New Roman" w:cs="Times New Roman"/>
          <w:sz w:val="24"/>
          <w:szCs w:val="24"/>
        </w:rPr>
        <w:t>.</w:t>
      </w:r>
      <w:r w:rsidR="0098456D" w:rsidRPr="000D3717">
        <w:rPr>
          <w:rFonts w:ascii="Times New Roman" w:hAnsi="Times New Roman" w:cs="Times New Roman"/>
          <w:sz w:val="24"/>
          <w:szCs w:val="24"/>
        </w:rPr>
        <w:t xml:space="preserve"> </w:t>
      </w:r>
      <w:r w:rsidR="00522F42" w:rsidRPr="000D3717">
        <w:rPr>
          <w:rFonts w:ascii="Times New Roman" w:hAnsi="Times New Roman" w:cs="Times New Roman"/>
          <w:sz w:val="24"/>
          <w:szCs w:val="24"/>
        </w:rPr>
        <w:t xml:space="preserve">Gjithashtu, Koncept Dokumenti në Fushën e Konkurrencës është përfshirë </w:t>
      </w:r>
      <w:r w:rsidR="007075AC" w:rsidRPr="000D3717">
        <w:rPr>
          <w:rFonts w:ascii="Times New Roman" w:hAnsi="Times New Roman" w:cs="Times New Roman"/>
          <w:sz w:val="24"/>
          <w:szCs w:val="24"/>
        </w:rPr>
        <w:t xml:space="preserve">edhe </w:t>
      </w:r>
      <w:r w:rsidR="00522F42" w:rsidRPr="000D3717">
        <w:rPr>
          <w:rFonts w:ascii="Times New Roman" w:hAnsi="Times New Roman" w:cs="Times New Roman"/>
          <w:sz w:val="24"/>
          <w:szCs w:val="24"/>
        </w:rPr>
        <w:t xml:space="preserve">në listën e Koncept Dokumenteve për vitin 2018. </w:t>
      </w:r>
      <w:r w:rsidR="0098456D" w:rsidRPr="000D3717">
        <w:rPr>
          <w:rFonts w:ascii="Times New Roman" w:hAnsi="Times New Roman" w:cs="Times New Roman"/>
          <w:sz w:val="24"/>
          <w:szCs w:val="24"/>
        </w:rPr>
        <w:t xml:space="preserve">Qëllimi i </w:t>
      </w:r>
      <w:r w:rsidR="00522F42" w:rsidRPr="000D3717">
        <w:rPr>
          <w:rFonts w:ascii="Times New Roman" w:hAnsi="Times New Roman" w:cs="Times New Roman"/>
          <w:sz w:val="24"/>
          <w:szCs w:val="24"/>
        </w:rPr>
        <w:t xml:space="preserve">këtij </w:t>
      </w:r>
      <w:r w:rsidR="0098456D" w:rsidRPr="000D3717">
        <w:rPr>
          <w:rFonts w:ascii="Times New Roman" w:hAnsi="Times New Roman" w:cs="Times New Roman"/>
          <w:sz w:val="24"/>
          <w:szCs w:val="24"/>
        </w:rPr>
        <w:t>Koncept Dokumenti është që të propozoj opsionin më adekuat për të adresuar problemin kryesor q</w:t>
      </w:r>
      <w:r w:rsidR="00ED78EF">
        <w:rPr>
          <w:rFonts w:ascii="Times New Roman" w:hAnsi="Times New Roman" w:cs="Times New Roman"/>
          <w:sz w:val="24"/>
          <w:szCs w:val="24"/>
        </w:rPr>
        <w:t>ë</w:t>
      </w:r>
      <w:r w:rsidR="0098456D" w:rsidRPr="000D3717">
        <w:rPr>
          <w:rFonts w:ascii="Times New Roman" w:hAnsi="Times New Roman" w:cs="Times New Roman"/>
          <w:sz w:val="24"/>
          <w:szCs w:val="24"/>
        </w:rPr>
        <w:t xml:space="preserve"> krijon  vështirësi në funksionimin e lirë të tregut dhe mbrojtjen e konkurrencës.</w:t>
      </w:r>
      <w:r w:rsidR="00053F90" w:rsidRPr="000D3717">
        <w:rPr>
          <w:rFonts w:ascii="Times New Roman" w:hAnsi="Times New Roman" w:cs="Times New Roman"/>
          <w:sz w:val="24"/>
          <w:szCs w:val="24"/>
        </w:rPr>
        <w:t xml:space="preserve"> </w:t>
      </w:r>
    </w:p>
    <w:p w14:paraId="09AF1FA5" w14:textId="77777777" w:rsidR="0068309A" w:rsidRPr="000D3717" w:rsidRDefault="00121004" w:rsidP="005D592D">
      <w:pPr>
        <w:shd w:val="clear" w:color="auto" w:fill="FFFFFF"/>
        <w:spacing w:after="150" w:line="240" w:lineRule="auto"/>
        <w:jc w:val="both"/>
        <w:rPr>
          <w:rFonts w:ascii="Times New Roman" w:hAnsi="Times New Roman" w:cs="Times New Roman"/>
          <w:sz w:val="24"/>
          <w:szCs w:val="24"/>
        </w:rPr>
      </w:pPr>
      <w:r w:rsidRPr="000D3717">
        <w:rPr>
          <w:rFonts w:ascii="Times New Roman" w:hAnsi="Times New Roman" w:cs="Times New Roman"/>
          <w:sz w:val="24"/>
          <w:szCs w:val="24"/>
        </w:rPr>
        <w:t>Andaj</w:t>
      </w:r>
      <w:r w:rsidR="00ED78EF">
        <w:rPr>
          <w:rFonts w:ascii="Times New Roman" w:hAnsi="Times New Roman" w:cs="Times New Roman"/>
          <w:sz w:val="24"/>
          <w:szCs w:val="24"/>
        </w:rPr>
        <w:t>,</w:t>
      </w:r>
      <w:r w:rsidRPr="000D3717">
        <w:rPr>
          <w:rFonts w:ascii="Times New Roman" w:hAnsi="Times New Roman" w:cs="Times New Roman"/>
          <w:sz w:val="24"/>
          <w:szCs w:val="24"/>
        </w:rPr>
        <w:t xml:space="preserve"> bazuar në udhëzuesin dhe doracakun për hartimin e koncept dokumenteve është hartuar ky Koncept Dokument i cili do të propozoj opsionin </w:t>
      </w:r>
      <w:r w:rsidR="00D30A45" w:rsidRPr="000D3717">
        <w:rPr>
          <w:rFonts w:ascii="Times New Roman" w:hAnsi="Times New Roman" w:cs="Times New Roman"/>
          <w:sz w:val="24"/>
          <w:szCs w:val="24"/>
        </w:rPr>
        <w:t>e rekomanduar nga grupi punues bazuar në analizën lidhur me</w:t>
      </w:r>
      <w:r w:rsidRPr="000D3717">
        <w:rPr>
          <w:rFonts w:ascii="Times New Roman" w:hAnsi="Times New Roman" w:cs="Times New Roman"/>
          <w:sz w:val="24"/>
          <w:szCs w:val="24"/>
        </w:rPr>
        <w:t xml:space="preserve"> Ligjin në fuqi për mbrojtjen e konkurrencës në tregun e Kosovës. </w:t>
      </w:r>
    </w:p>
    <w:p w14:paraId="1E5DA195" w14:textId="77777777" w:rsidR="0075339D" w:rsidRPr="000D3717" w:rsidRDefault="00A61B6E" w:rsidP="00A61B6E">
      <w:pPr>
        <w:pStyle w:val="Caption"/>
        <w:rPr>
          <w:rFonts w:ascii="Times New Roman" w:hAnsi="Times New Roman" w:cs="Times New Roman"/>
          <w:b/>
          <w:sz w:val="24"/>
          <w:szCs w:val="24"/>
        </w:rPr>
      </w:pPr>
      <w:r w:rsidRPr="000D3717">
        <w:rPr>
          <w:rFonts w:ascii="Times New Roman" w:hAnsi="Times New Roman" w:cs="Times New Roman"/>
          <w:sz w:val="24"/>
          <w:szCs w:val="24"/>
        </w:rPr>
        <w:t>Figur</w:t>
      </w:r>
      <w:r w:rsidR="00A33A00"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64305F" w:rsidRPr="000D3717">
        <w:rPr>
          <w:rFonts w:ascii="Times New Roman" w:hAnsi="Times New Roman" w:cs="Times New Roman"/>
          <w:sz w:val="24"/>
          <w:szCs w:val="24"/>
        </w:rPr>
        <w:fldChar w:fldCharType="begin"/>
      </w:r>
      <w:r w:rsidR="00180BB0" w:rsidRPr="000D3717">
        <w:rPr>
          <w:rFonts w:ascii="Times New Roman" w:hAnsi="Times New Roman" w:cs="Times New Roman"/>
          <w:sz w:val="24"/>
          <w:szCs w:val="24"/>
        </w:rPr>
        <w:instrText xml:space="preserve"> SEQ Figure \* ARABIC </w:instrText>
      </w:r>
      <w:r w:rsidR="0064305F" w:rsidRPr="000D3717">
        <w:rPr>
          <w:rFonts w:ascii="Times New Roman" w:hAnsi="Times New Roman" w:cs="Times New Roman"/>
          <w:sz w:val="24"/>
          <w:szCs w:val="24"/>
        </w:rPr>
        <w:fldChar w:fldCharType="separate"/>
      </w:r>
      <w:r w:rsidR="0095778A">
        <w:rPr>
          <w:rFonts w:ascii="Times New Roman" w:hAnsi="Times New Roman" w:cs="Times New Roman"/>
          <w:noProof/>
          <w:sz w:val="24"/>
          <w:szCs w:val="24"/>
        </w:rPr>
        <w:t>1</w:t>
      </w:r>
      <w:r w:rsidR="0064305F" w:rsidRPr="000D3717">
        <w:rPr>
          <w:rFonts w:ascii="Times New Roman" w:hAnsi="Times New Roman" w:cs="Times New Roman"/>
          <w:sz w:val="24"/>
          <w:szCs w:val="24"/>
        </w:rPr>
        <w:fldChar w:fldCharType="end"/>
      </w:r>
      <w:r w:rsidRPr="000D3717">
        <w:rPr>
          <w:rFonts w:ascii="Times New Roman" w:hAnsi="Times New Roman" w:cs="Times New Roman"/>
          <w:sz w:val="24"/>
          <w:szCs w:val="24"/>
        </w:rPr>
        <w:t xml:space="preserve">: </w:t>
      </w:r>
      <w:r w:rsidR="00A33A00" w:rsidRPr="000D3717">
        <w:rPr>
          <w:rFonts w:ascii="Times New Roman" w:hAnsi="Times New Roman" w:cs="Times New Roman"/>
          <w:sz w:val="24"/>
          <w:szCs w:val="24"/>
        </w:rPr>
        <w:t>Tabela me informacione të përgjithshme për koncept dokument</w:t>
      </w:r>
      <w:r w:rsidR="001E3DB1" w:rsidRPr="000D3717">
        <w:rPr>
          <w:rFonts w:ascii="Times New Roman" w:hAnsi="Times New Roman" w:cs="Times New Roman"/>
          <w:sz w:val="24"/>
          <w:szCs w:val="24"/>
        </w:rPr>
        <w:t>in</w:t>
      </w:r>
    </w:p>
    <w:tbl>
      <w:tblPr>
        <w:tblStyle w:val="TableGrid1"/>
        <w:tblW w:w="9895" w:type="dxa"/>
        <w:tblLook w:val="04A0" w:firstRow="1" w:lastRow="0" w:firstColumn="1" w:lastColumn="0" w:noHBand="0" w:noVBand="1"/>
      </w:tblPr>
      <w:tblGrid>
        <w:gridCol w:w="1795"/>
        <w:gridCol w:w="8100"/>
      </w:tblGrid>
      <w:tr w:rsidR="0075339D" w:rsidRPr="000D3717" w14:paraId="7F003D8A" w14:textId="77777777" w:rsidTr="008D7069">
        <w:tc>
          <w:tcPr>
            <w:tcW w:w="1795" w:type="dxa"/>
          </w:tcPr>
          <w:p w14:paraId="090CA427" w14:textId="77777777" w:rsidR="0075339D" w:rsidRPr="000D3717" w:rsidRDefault="0075339D" w:rsidP="00180BB0">
            <w:pPr>
              <w:rPr>
                <w:rFonts w:ascii="Times New Roman" w:hAnsi="Times New Roman" w:cs="Times New Roman"/>
                <w:sz w:val="24"/>
                <w:szCs w:val="24"/>
              </w:rPr>
            </w:pPr>
            <w:r w:rsidRPr="000D3717">
              <w:rPr>
                <w:rFonts w:ascii="Times New Roman" w:hAnsi="Times New Roman" w:cs="Times New Roman"/>
                <w:sz w:val="24"/>
                <w:szCs w:val="24"/>
              </w:rPr>
              <w:t>Tit</w:t>
            </w:r>
            <w:r w:rsidR="00180BB0" w:rsidRPr="000D3717">
              <w:rPr>
                <w:rFonts w:ascii="Times New Roman" w:hAnsi="Times New Roman" w:cs="Times New Roman"/>
                <w:sz w:val="24"/>
                <w:szCs w:val="24"/>
              </w:rPr>
              <w:t>ulli</w:t>
            </w:r>
            <w:r w:rsidRPr="000D3717">
              <w:rPr>
                <w:rFonts w:ascii="Times New Roman" w:hAnsi="Times New Roman" w:cs="Times New Roman"/>
                <w:sz w:val="24"/>
                <w:szCs w:val="24"/>
              </w:rPr>
              <w:t xml:space="preserve"> </w:t>
            </w:r>
          </w:p>
        </w:tc>
        <w:tc>
          <w:tcPr>
            <w:tcW w:w="8100" w:type="dxa"/>
          </w:tcPr>
          <w:p w14:paraId="45022989" w14:textId="77777777" w:rsidR="0075339D" w:rsidRPr="000D3717" w:rsidRDefault="00332E80" w:rsidP="008D7069">
            <w:pPr>
              <w:rPr>
                <w:rFonts w:ascii="Times New Roman" w:hAnsi="Times New Roman" w:cs="Times New Roman"/>
                <w:sz w:val="24"/>
                <w:szCs w:val="24"/>
              </w:rPr>
            </w:pPr>
            <w:r w:rsidRPr="000D3717">
              <w:rPr>
                <w:rFonts w:ascii="Times New Roman" w:hAnsi="Times New Roman" w:cs="Times New Roman"/>
                <w:b/>
                <w:sz w:val="24"/>
                <w:szCs w:val="24"/>
              </w:rPr>
              <w:t>Koncept Dokumenti në fushën e Konkurrencës</w:t>
            </w:r>
            <w:r w:rsidRPr="000D3717" w:rsidDel="00332E80">
              <w:rPr>
                <w:rFonts w:ascii="Times New Roman" w:hAnsi="Times New Roman" w:cs="Times New Roman"/>
                <w:sz w:val="24"/>
                <w:szCs w:val="24"/>
              </w:rPr>
              <w:t xml:space="preserve"> </w:t>
            </w:r>
          </w:p>
        </w:tc>
      </w:tr>
      <w:tr w:rsidR="0075339D" w:rsidRPr="000D3717" w14:paraId="7BDD73FB" w14:textId="77777777" w:rsidTr="008D7069">
        <w:tc>
          <w:tcPr>
            <w:tcW w:w="1795" w:type="dxa"/>
          </w:tcPr>
          <w:p w14:paraId="4745CFFE" w14:textId="77777777" w:rsidR="0075339D" w:rsidRPr="000D3717" w:rsidRDefault="00180BB0" w:rsidP="008D7069">
            <w:pPr>
              <w:rPr>
                <w:rFonts w:ascii="Times New Roman" w:hAnsi="Times New Roman" w:cs="Times New Roman"/>
                <w:sz w:val="24"/>
                <w:szCs w:val="24"/>
              </w:rPr>
            </w:pPr>
            <w:r w:rsidRPr="000D3717">
              <w:rPr>
                <w:rFonts w:ascii="Times New Roman" w:hAnsi="Times New Roman" w:cs="Times New Roman"/>
                <w:sz w:val="24"/>
                <w:szCs w:val="24"/>
              </w:rPr>
              <w:t>Ministria bartëse</w:t>
            </w:r>
          </w:p>
        </w:tc>
        <w:tc>
          <w:tcPr>
            <w:tcW w:w="8100" w:type="dxa"/>
          </w:tcPr>
          <w:p w14:paraId="5C491CA9" w14:textId="1429E6C0" w:rsidR="0075339D" w:rsidRPr="000D3717" w:rsidRDefault="00332E80" w:rsidP="00180BB0">
            <w:pPr>
              <w:rPr>
                <w:rFonts w:ascii="Times New Roman" w:hAnsi="Times New Roman" w:cs="Times New Roman"/>
                <w:sz w:val="24"/>
                <w:szCs w:val="24"/>
              </w:rPr>
            </w:pPr>
            <w:r w:rsidRPr="000D3717">
              <w:rPr>
                <w:rFonts w:ascii="Times New Roman" w:hAnsi="Times New Roman" w:cs="Times New Roman"/>
                <w:b/>
                <w:sz w:val="24"/>
                <w:szCs w:val="24"/>
              </w:rPr>
              <w:t>Ministria e Tregtisë dhe Industrisë</w:t>
            </w:r>
            <w:r w:rsidRPr="000D3717">
              <w:rPr>
                <w:rFonts w:ascii="Times New Roman" w:hAnsi="Times New Roman" w:cs="Times New Roman"/>
                <w:sz w:val="24"/>
                <w:szCs w:val="24"/>
              </w:rPr>
              <w:t xml:space="preserve">, </w:t>
            </w:r>
            <w:r w:rsidRPr="000D3717">
              <w:rPr>
                <w:rFonts w:ascii="Times New Roman" w:hAnsi="Times New Roman" w:cs="Times New Roman"/>
                <w:b/>
                <w:sz w:val="24"/>
                <w:szCs w:val="24"/>
              </w:rPr>
              <w:t>Departamenti për Integrime Evropiane dhe Koordinim</w:t>
            </w:r>
            <w:r w:rsidR="008753CB">
              <w:rPr>
                <w:rFonts w:ascii="Times New Roman" w:hAnsi="Times New Roman" w:cs="Times New Roman"/>
                <w:b/>
                <w:sz w:val="24"/>
                <w:szCs w:val="24"/>
              </w:rPr>
              <w:t xml:space="preserve"> të </w:t>
            </w:r>
            <w:r w:rsidRPr="000D3717">
              <w:rPr>
                <w:rFonts w:ascii="Times New Roman" w:hAnsi="Times New Roman" w:cs="Times New Roman"/>
                <w:b/>
                <w:sz w:val="24"/>
                <w:szCs w:val="24"/>
              </w:rPr>
              <w:t>Politikave, Divizioni për Koordinim</w:t>
            </w:r>
            <w:r w:rsidR="008753CB">
              <w:rPr>
                <w:rFonts w:ascii="Times New Roman" w:hAnsi="Times New Roman" w:cs="Times New Roman"/>
                <w:b/>
                <w:sz w:val="24"/>
                <w:szCs w:val="24"/>
              </w:rPr>
              <w:t xml:space="preserve"> të </w:t>
            </w:r>
            <w:r w:rsidRPr="000D3717">
              <w:rPr>
                <w:rFonts w:ascii="Times New Roman" w:hAnsi="Times New Roman" w:cs="Times New Roman"/>
                <w:b/>
                <w:sz w:val="24"/>
                <w:szCs w:val="24"/>
              </w:rPr>
              <w:t>Politikave</w:t>
            </w:r>
          </w:p>
        </w:tc>
      </w:tr>
      <w:tr w:rsidR="0075339D" w:rsidRPr="000D3717" w14:paraId="2519921B" w14:textId="77777777" w:rsidTr="008D7069">
        <w:tc>
          <w:tcPr>
            <w:tcW w:w="1795" w:type="dxa"/>
          </w:tcPr>
          <w:p w14:paraId="79B7564C" w14:textId="77777777" w:rsidR="0075339D" w:rsidRPr="000D3717" w:rsidRDefault="00180BB0" w:rsidP="008D7069">
            <w:pPr>
              <w:rPr>
                <w:rFonts w:ascii="Times New Roman" w:hAnsi="Times New Roman" w:cs="Times New Roman"/>
                <w:sz w:val="24"/>
                <w:szCs w:val="24"/>
              </w:rPr>
            </w:pPr>
            <w:r w:rsidRPr="000D3717">
              <w:rPr>
                <w:rFonts w:ascii="Times New Roman" w:hAnsi="Times New Roman" w:cs="Times New Roman"/>
                <w:sz w:val="24"/>
                <w:szCs w:val="24"/>
              </w:rPr>
              <w:t>Personi kontaktues</w:t>
            </w:r>
          </w:p>
        </w:tc>
        <w:tc>
          <w:tcPr>
            <w:tcW w:w="8100" w:type="dxa"/>
          </w:tcPr>
          <w:p w14:paraId="09769407" w14:textId="77777777" w:rsidR="0075339D" w:rsidRPr="000D3717" w:rsidRDefault="00332E80" w:rsidP="008D7069">
            <w:pPr>
              <w:rPr>
                <w:rFonts w:ascii="Times New Roman" w:hAnsi="Times New Roman" w:cs="Times New Roman"/>
                <w:b/>
                <w:sz w:val="24"/>
                <w:szCs w:val="24"/>
              </w:rPr>
            </w:pPr>
            <w:r w:rsidRPr="000D3717">
              <w:rPr>
                <w:rFonts w:ascii="Times New Roman" w:hAnsi="Times New Roman" w:cs="Times New Roman"/>
                <w:b/>
                <w:sz w:val="24"/>
                <w:szCs w:val="24"/>
              </w:rPr>
              <w:t>Bleron Menzelxhiu, bleron.menzelxhiu@rks-gov.net</w:t>
            </w:r>
          </w:p>
        </w:tc>
      </w:tr>
      <w:tr w:rsidR="0075339D" w:rsidRPr="000D3717" w14:paraId="76FA9DD1" w14:textId="77777777" w:rsidTr="008D7069">
        <w:tc>
          <w:tcPr>
            <w:tcW w:w="1795" w:type="dxa"/>
          </w:tcPr>
          <w:p w14:paraId="6106ED2C" w14:textId="77777777" w:rsidR="0075339D" w:rsidRPr="000D3717" w:rsidRDefault="00162D8C" w:rsidP="008D7069">
            <w:pPr>
              <w:rPr>
                <w:rFonts w:ascii="Times New Roman" w:hAnsi="Times New Roman" w:cs="Times New Roman"/>
                <w:sz w:val="24"/>
                <w:szCs w:val="24"/>
              </w:rPr>
            </w:pPr>
            <w:r w:rsidRPr="000D3717">
              <w:rPr>
                <w:rFonts w:ascii="Times New Roman" w:hAnsi="Times New Roman" w:cs="Times New Roman"/>
                <w:sz w:val="24"/>
                <w:szCs w:val="24"/>
              </w:rPr>
              <w:t>PVPQ</w:t>
            </w:r>
          </w:p>
        </w:tc>
        <w:tc>
          <w:tcPr>
            <w:tcW w:w="8100" w:type="dxa"/>
          </w:tcPr>
          <w:p w14:paraId="61C5A93E" w14:textId="5DA7ECAE" w:rsidR="0075339D" w:rsidRPr="000D3717" w:rsidRDefault="00332E80" w:rsidP="008D7069">
            <w:pPr>
              <w:rPr>
                <w:rFonts w:ascii="Times New Roman" w:hAnsi="Times New Roman" w:cs="Times New Roman"/>
                <w:sz w:val="24"/>
                <w:szCs w:val="24"/>
              </w:rPr>
            </w:pPr>
            <w:r w:rsidRPr="000D3717">
              <w:rPr>
                <w:rFonts w:ascii="Times New Roman" w:hAnsi="Times New Roman" w:cs="Times New Roman"/>
                <w:b/>
                <w:sz w:val="24"/>
                <w:szCs w:val="24"/>
              </w:rPr>
              <w:t>Nuk ndërlidhet me ndonjë obligim specifik në PVPQ, por në mënyrë indirekte ndihmon në përmbushjen e veprimeve që ndërlidh</w:t>
            </w:r>
            <w:r w:rsidR="00CB0DCF">
              <w:rPr>
                <w:rFonts w:ascii="Times New Roman" w:hAnsi="Times New Roman" w:cs="Times New Roman"/>
                <w:b/>
                <w:sz w:val="24"/>
                <w:szCs w:val="24"/>
              </w:rPr>
              <w:t xml:space="preserve">et me </w:t>
            </w:r>
            <w:r w:rsidRPr="000D3717">
              <w:rPr>
                <w:rFonts w:ascii="Times New Roman" w:hAnsi="Times New Roman" w:cs="Times New Roman"/>
                <w:b/>
                <w:sz w:val="24"/>
                <w:szCs w:val="24"/>
              </w:rPr>
              <w:t xml:space="preserve"> sundimin </w:t>
            </w:r>
            <w:r w:rsidRPr="000D3717">
              <w:rPr>
                <w:rFonts w:ascii="Times New Roman" w:hAnsi="Times New Roman" w:cs="Times New Roman"/>
                <w:b/>
                <w:sz w:val="24"/>
                <w:szCs w:val="24"/>
              </w:rPr>
              <w:lastRenderedPageBreak/>
              <w:t xml:space="preserve">e ligjit, zhvillimin e afarizmit, luftës kundër </w:t>
            </w:r>
            <w:proofErr w:type="spellStart"/>
            <w:r w:rsidRPr="000D3717">
              <w:rPr>
                <w:rFonts w:ascii="Times New Roman" w:hAnsi="Times New Roman" w:cs="Times New Roman"/>
                <w:b/>
                <w:sz w:val="24"/>
                <w:szCs w:val="24"/>
              </w:rPr>
              <w:t>infromalitetit</w:t>
            </w:r>
            <w:proofErr w:type="spellEnd"/>
            <w:r w:rsidRPr="000D3717">
              <w:rPr>
                <w:rFonts w:ascii="Times New Roman" w:hAnsi="Times New Roman" w:cs="Times New Roman"/>
                <w:b/>
                <w:sz w:val="24"/>
                <w:szCs w:val="24"/>
              </w:rPr>
              <w:t xml:space="preserve"> dhe tregut të lir</w:t>
            </w:r>
            <w:r w:rsidR="00CB0DCF">
              <w:rPr>
                <w:rFonts w:ascii="Times New Roman" w:hAnsi="Times New Roman" w:cs="Times New Roman"/>
                <w:b/>
                <w:sz w:val="24"/>
                <w:szCs w:val="24"/>
              </w:rPr>
              <w:t>ë</w:t>
            </w:r>
            <w:r w:rsidRPr="000D3717">
              <w:rPr>
                <w:rFonts w:ascii="Times New Roman" w:hAnsi="Times New Roman" w:cs="Times New Roman"/>
                <w:b/>
                <w:sz w:val="24"/>
                <w:szCs w:val="24"/>
              </w:rPr>
              <w:t xml:space="preserve">. </w:t>
            </w:r>
            <w:r w:rsidRPr="000D3717" w:rsidDel="00332E80">
              <w:rPr>
                <w:rFonts w:ascii="Times New Roman" w:hAnsi="Times New Roman" w:cs="Times New Roman"/>
                <w:sz w:val="24"/>
                <w:szCs w:val="24"/>
              </w:rPr>
              <w:t xml:space="preserve"> </w:t>
            </w:r>
          </w:p>
        </w:tc>
      </w:tr>
      <w:tr w:rsidR="0075339D" w:rsidRPr="000D3717" w14:paraId="32BD15D7" w14:textId="77777777" w:rsidTr="008D7069">
        <w:tc>
          <w:tcPr>
            <w:tcW w:w="1795" w:type="dxa"/>
          </w:tcPr>
          <w:p w14:paraId="07854328" w14:textId="77777777" w:rsidR="0075339D" w:rsidRPr="000D3717" w:rsidRDefault="00162D8C" w:rsidP="008D7069">
            <w:pPr>
              <w:rPr>
                <w:rFonts w:ascii="Times New Roman" w:hAnsi="Times New Roman" w:cs="Times New Roman"/>
                <w:sz w:val="24"/>
                <w:szCs w:val="24"/>
              </w:rPr>
            </w:pPr>
            <w:r w:rsidRPr="000D3717">
              <w:rPr>
                <w:rFonts w:ascii="Times New Roman" w:hAnsi="Times New Roman" w:cs="Times New Roman"/>
                <w:sz w:val="24"/>
                <w:szCs w:val="24"/>
              </w:rPr>
              <w:lastRenderedPageBreak/>
              <w:t>Prioriteti strategjik</w:t>
            </w:r>
          </w:p>
        </w:tc>
        <w:tc>
          <w:tcPr>
            <w:tcW w:w="8100" w:type="dxa"/>
          </w:tcPr>
          <w:p w14:paraId="1E6DFC1F" w14:textId="77777777" w:rsidR="00332E80" w:rsidRPr="000D3717" w:rsidRDefault="00332E80" w:rsidP="00332E80">
            <w:pPr>
              <w:pStyle w:val="ListParagraph"/>
              <w:numPr>
                <w:ilvl w:val="0"/>
                <w:numId w:val="14"/>
              </w:numPr>
              <w:rPr>
                <w:rFonts w:ascii="Times New Roman" w:hAnsi="Times New Roman" w:cs="Times New Roman"/>
                <w:b/>
                <w:sz w:val="24"/>
                <w:szCs w:val="24"/>
              </w:rPr>
            </w:pPr>
            <w:r w:rsidRPr="000D3717">
              <w:rPr>
                <w:rFonts w:ascii="Times New Roman" w:hAnsi="Times New Roman" w:cs="Times New Roman"/>
                <w:b/>
                <w:sz w:val="24"/>
                <w:szCs w:val="24"/>
              </w:rPr>
              <w:t>Strategjia Kombëtare për Zhvillim 2016-2021 (Shtylla 2, Shtylla 3)</w:t>
            </w:r>
          </w:p>
          <w:p w14:paraId="7C6DF9A4" w14:textId="77777777" w:rsidR="00332E80" w:rsidRPr="000D3717" w:rsidRDefault="00332E80" w:rsidP="00332E80">
            <w:pPr>
              <w:pStyle w:val="ListParagraph"/>
              <w:numPr>
                <w:ilvl w:val="0"/>
                <w:numId w:val="14"/>
              </w:numPr>
              <w:rPr>
                <w:rFonts w:ascii="Times New Roman" w:hAnsi="Times New Roman" w:cs="Times New Roman"/>
                <w:b/>
                <w:sz w:val="24"/>
                <w:szCs w:val="24"/>
              </w:rPr>
            </w:pPr>
            <w:r w:rsidRPr="000D3717">
              <w:rPr>
                <w:rFonts w:ascii="Times New Roman" w:hAnsi="Times New Roman" w:cs="Times New Roman"/>
                <w:b/>
                <w:sz w:val="24"/>
                <w:szCs w:val="24"/>
              </w:rPr>
              <w:t>A</w:t>
            </w:r>
            <w:r w:rsidR="00ED78EF">
              <w:rPr>
                <w:rFonts w:ascii="Times New Roman" w:hAnsi="Times New Roman" w:cs="Times New Roman"/>
                <w:b/>
                <w:sz w:val="24"/>
                <w:szCs w:val="24"/>
              </w:rPr>
              <w:t>gj</w:t>
            </w:r>
            <w:r w:rsidRPr="000D3717">
              <w:rPr>
                <w:rFonts w:ascii="Times New Roman" w:hAnsi="Times New Roman" w:cs="Times New Roman"/>
                <w:b/>
                <w:sz w:val="24"/>
                <w:szCs w:val="24"/>
              </w:rPr>
              <w:t>enda për Reforma Evropiane 2016 (ERA -E1, E2)</w:t>
            </w:r>
          </w:p>
          <w:p w14:paraId="220EF441" w14:textId="77777777" w:rsidR="0075339D" w:rsidRPr="000D3717" w:rsidRDefault="00332E80" w:rsidP="005D592D">
            <w:pPr>
              <w:pStyle w:val="ListParagraph"/>
              <w:numPr>
                <w:ilvl w:val="0"/>
                <w:numId w:val="14"/>
              </w:numPr>
              <w:rPr>
                <w:rFonts w:ascii="Times New Roman" w:hAnsi="Times New Roman" w:cs="Times New Roman"/>
                <w:b/>
                <w:sz w:val="24"/>
                <w:szCs w:val="24"/>
              </w:rPr>
            </w:pPr>
            <w:r w:rsidRPr="000D3717">
              <w:rPr>
                <w:rFonts w:ascii="Times New Roman" w:hAnsi="Times New Roman" w:cs="Times New Roman"/>
                <w:b/>
                <w:sz w:val="24"/>
                <w:szCs w:val="24"/>
              </w:rPr>
              <w:t xml:space="preserve">Marrëveshja e Stabilizim </w:t>
            </w:r>
            <w:proofErr w:type="spellStart"/>
            <w:r w:rsidRPr="000D3717">
              <w:rPr>
                <w:rFonts w:ascii="Times New Roman" w:hAnsi="Times New Roman" w:cs="Times New Roman"/>
                <w:b/>
                <w:sz w:val="24"/>
                <w:szCs w:val="24"/>
              </w:rPr>
              <w:t>Associmit</w:t>
            </w:r>
            <w:proofErr w:type="spellEnd"/>
            <w:r w:rsidRPr="000D3717">
              <w:rPr>
                <w:rFonts w:ascii="Times New Roman" w:hAnsi="Times New Roman" w:cs="Times New Roman"/>
                <w:b/>
                <w:sz w:val="24"/>
                <w:szCs w:val="24"/>
              </w:rPr>
              <w:t xml:space="preserve"> (Kapitulli 8 – Politikat e Konkurrencës)</w:t>
            </w:r>
            <w:r w:rsidRPr="000D3717" w:rsidDel="00332E80">
              <w:rPr>
                <w:rFonts w:ascii="Times New Roman" w:hAnsi="Times New Roman" w:cs="Times New Roman"/>
                <w:sz w:val="24"/>
                <w:szCs w:val="24"/>
              </w:rPr>
              <w:t xml:space="preserve"> </w:t>
            </w:r>
          </w:p>
        </w:tc>
      </w:tr>
      <w:tr w:rsidR="0075339D" w:rsidRPr="000D3717" w14:paraId="443F319E" w14:textId="77777777" w:rsidTr="008D7069">
        <w:tc>
          <w:tcPr>
            <w:tcW w:w="1795" w:type="dxa"/>
          </w:tcPr>
          <w:p w14:paraId="1AFBA3BD" w14:textId="77777777" w:rsidR="0075339D" w:rsidRPr="000D3717" w:rsidRDefault="00162D8C" w:rsidP="008D7069">
            <w:pPr>
              <w:rPr>
                <w:rFonts w:ascii="Times New Roman" w:hAnsi="Times New Roman" w:cs="Times New Roman"/>
                <w:sz w:val="24"/>
                <w:szCs w:val="24"/>
              </w:rPr>
            </w:pPr>
            <w:r w:rsidRPr="000D3717">
              <w:rPr>
                <w:rFonts w:ascii="Times New Roman" w:hAnsi="Times New Roman" w:cs="Times New Roman"/>
                <w:sz w:val="24"/>
                <w:szCs w:val="24"/>
              </w:rPr>
              <w:t>Grupi punues</w:t>
            </w:r>
          </w:p>
        </w:tc>
        <w:tc>
          <w:tcPr>
            <w:tcW w:w="8100" w:type="dxa"/>
          </w:tcPr>
          <w:p w14:paraId="42C539D7"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Bleron Menzelxhiu - Udhëheqës i Divizionit për Koordinim të Politikave (MTI)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Kryesues</w:t>
            </w:r>
          </w:p>
          <w:p w14:paraId="2348BF14"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Rexhep Bllaca - Drejtor i Departamentit Ligjor (MTI)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w:t>
            </w:r>
          </w:p>
          <w:p w14:paraId="38D7312A"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Valon Prestreshi - Kryetar i AKK-se, anëtar</w:t>
            </w:r>
          </w:p>
          <w:p w14:paraId="3285FC5D"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Ahmet M. Krasniqi - </w:t>
            </w:r>
            <w:proofErr w:type="spellStart"/>
            <w:r w:rsidRPr="000D3717">
              <w:rPr>
                <w:rFonts w:ascii="Times New Roman" w:hAnsi="Times New Roman" w:cs="Times New Roman"/>
                <w:b/>
                <w:sz w:val="24"/>
                <w:szCs w:val="24"/>
              </w:rPr>
              <w:t>Zv</w:t>
            </w:r>
            <w:proofErr w:type="spellEnd"/>
            <w:r w:rsidRPr="000D3717">
              <w:rPr>
                <w:rFonts w:ascii="Times New Roman" w:hAnsi="Times New Roman" w:cs="Times New Roman"/>
                <w:b/>
                <w:sz w:val="24"/>
                <w:szCs w:val="24"/>
              </w:rPr>
              <w:t xml:space="preserve">. Kryetar i AKK-se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w:t>
            </w:r>
          </w:p>
          <w:p w14:paraId="592F4909"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Fatime S. Haziri - </w:t>
            </w:r>
            <w:proofErr w:type="spellStart"/>
            <w:r w:rsidRPr="000D3717">
              <w:rPr>
                <w:rFonts w:ascii="Times New Roman" w:hAnsi="Times New Roman" w:cs="Times New Roman"/>
                <w:b/>
                <w:sz w:val="24"/>
                <w:szCs w:val="24"/>
              </w:rPr>
              <w:t>Komisionere</w:t>
            </w:r>
            <w:proofErr w:type="spellEnd"/>
            <w:r w:rsidRPr="000D3717">
              <w:rPr>
                <w:rFonts w:ascii="Times New Roman" w:hAnsi="Times New Roman" w:cs="Times New Roman"/>
                <w:b/>
                <w:sz w:val="24"/>
                <w:szCs w:val="24"/>
              </w:rPr>
              <w:t xml:space="preserve"> e AKK-se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anëtare</w:t>
            </w:r>
          </w:p>
          <w:p w14:paraId="0611C287"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Remzije Hajdari - Udhëheqëse e Divizionit për Hartimin dhe Harmonizimin e Legjislacionit, Departamenti Ligjor (MTI)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anëtare</w:t>
            </w:r>
          </w:p>
          <w:p w14:paraId="726069DD" w14:textId="2686153D"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Muhamet Hashani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Zyrtar i Larte për </w:t>
            </w:r>
            <w:r w:rsidR="009B0878" w:rsidRPr="000D3717">
              <w:rPr>
                <w:rFonts w:ascii="Times New Roman" w:hAnsi="Times New Roman" w:cs="Times New Roman"/>
                <w:b/>
                <w:sz w:val="24"/>
                <w:szCs w:val="24"/>
              </w:rPr>
              <w:t xml:space="preserve">Hulumtim, </w:t>
            </w:r>
            <w:r w:rsidRPr="000D3717">
              <w:rPr>
                <w:rFonts w:ascii="Times New Roman" w:hAnsi="Times New Roman" w:cs="Times New Roman"/>
                <w:b/>
                <w:sz w:val="24"/>
                <w:szCs w:val="24"/>
              </w:rPr>
              <w:t xml:space="preserve">Monitorim dhe </w:t>
            </w:r>
            <w:r w:rsidR="009B0878" w:rsidRPr="000D3717">
              <w:rPr>
                <w:rFonts w:ascii="Times New Roman" w:hAnsi="Times New Roman" w:cs="Times New Roman"/>
                <w:b/>
                <w:sz w:val="24"/>
                <w:szCs w:val="24"/>
              </w:rPr>
              <w:t>Analiza</w:t>
            </w:r>
            <w:r w:rsidR="008753CB">
              <w:rPr>
                <w:rFonts w:ascii="Times New Roman" w:hAnsi="Times New Roman" w:cs="Times New Roman"/>
                <w:b/>
                <w:sz w:val="24"/>
                <w:szCs w:val="24"/>
              </w:rPr>
              <w:t xml:space="preserve"> të </w:t>
            </w:r>
            <w:r w:rsidR="009B0878" w:rsidRPr="000D3717">
              <w:rPr>
                <w:rFonts w:ascii="Times New Roman" w:hAnsi="Times New Roman" w:cs="Times New Roman"/>
                <w:b/>
                <w:sz w:val="24"/>
                <w:szCs w:val="24"/>
              </w:rPr>
              <w:t>Politikave</w:t>
            </w:r>
            <w:r w:rsidRPr="000D3717">
              <w:rPr>
                <w:rFonts w:ascii="Times New Roman" w:hAnsi="Times New Roman" w:cs="Times New Roman"/>
                <w:b/>
                <w:sz w:val="24"/>
                <w:szCs w:val="24"/>
              </w:rPr>
              <w:t xml:space="preserve"> Industriale (MTI) - anëtar</w:t>
            </w:r>
          </w:p>
          <w:p w14:paraId="77CA45A8" w14:textId="06F8BD85"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Besmire Shab</w:t>
            </w:r>
            <w:r w:rsidR="006D4126">
              <w:rPr>
                <w:rFonts w:ascii="Times New Roman" w:hAnsi="Times New Roman" w:cs="Times New Roman"/>
                <w:b/>
                <w:sz w:val="24"/>
                <w:szCs w:val="24"/>
              </w:rPr>
              <w:t>a</w:t>
            </w:r>
            <w:r w:rsidRPr="000D3717">
              <w:rPr>
                <w:rFonts w:ascii="Times New Roman" w:hAnsi="Times New Roman" w:cs="Times New Roman"/>
                <w:b/>
                <w:sz w:val="24"/>
                <w:szCs w:val="24"/>
              </w:rPr>
              <w:t xml:space="preserve">nhaxhaj - Zyrtare e Lartë për Masat Mbrojtëse dhe Vlerësim të Dëmit, Departamenti i Tregtisë (MTI)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anëtare</w:t>
            </w:r>
          </w:p>
          <w:p w14:paraId="25DF4055"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Sanie Ah</w:t>
            </w:r>
            <w:r w:rsidR="00C460FA" w:rsidRPr="000D3717">
              <w:rPr>
                <w:rFonts w:ascii="Times New Roman" w:hAnsi="Times New Roman" w:cs="Times New Roman"/>
                <w:b/>
                <w:sz w:val="24"/>
                <w:szCs w:val="24"/>
              </w:rPr>
              <w:t xml:space="preserve">meti - Analiste e Buxhetit, </w:t>
            </w:r>
            <w:r w:rsidRPr="000D3717">
              <w:rPr>
                <w:rFonts w:ascii="Times New Roman" w:hAnsi="Times New Roman" w:cs="Times New Roman"/>
                <w:b/>
                <w:sz w:val="24"/>
                <w:szCs w:val="24"/>
              </w:rPr>
              <w:t xml:space="preserve">(MTI)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anëtare</w:t>
            </w:r>
          </w:p>
          <w:p w14:paraId="00B3D1ED"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Shkurte Krasniqi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Koordinatore për politika ekonomike (SQK) – </w:t>
            </w:r>
            <w:r w:rsidR="005A4320" w:rsidRPr="000D3717">
              <w:rPr>
                <w:rFonts w:ascii="Times New Roman" w:hAnsi="Times New Roman" w:cs="Times New Roman"/>
                <w:b/>
                <w:sz w:val="24"/>
                <w:szCs w:val="24"/>
              </w:rPr>
              <w:t>anëtare</w:t>
            </w:r>
          </w:p>
          <w:p w14:paraId="0D892ACC" w14:textId="00E99590" w:rsidR="003C0FF0" w:rsidRPr="000D3717" w:rsidRDefault="003C0FF0" w:rsidP="009B0878">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Rajmonda Kukalaj - </w:t>
            </w:r>
            <w:r w:rsidR="009B0878" w:rsidRPr="000D3717">
              <w:rPr>
                <w:rFonts w:ascii="Times New Roman" w:hAnsi="Times New Roman" w:cs="Times New Roman"/>
                <w:b/>
                <w:sz w:val="24"/>
                <w:szCs w:val="24"/>
              </w:rPr>
              <w:t xml:space="preserve"> </w:t>
            </w:r>
            <w:proofErr w:type="spellStart"/>
            <w:r w:rsidR="009B0878" w:rsidRPr="000D3717">
              <w:rPr>
                <w:rFonts w:ascii="Times New Roman" w:hAnsi="Times New Roman" w:cs="Times New Roman"/>
                <w:b/>
                <w:sz w:val="24"/>
                <w:szCs w:val="24"/>
              </w:rPr>
              <w:t>Bruçaj</w:t>
            </w:r>
            <w:proofErr w:type="spellEnd"/>
            <w:r w:rsidR="009B0878" w:rsidRPr="000D3717">
              <w:rPr>
                <w:rFonts w:ascii="Times New Roman" w:hAnsi="Times New Roman" w:cs="Times New Roman"/>
                <w:b/>
                <w:sz w:val="24"/>
                <w:szCs w:val="24"/>
              </w:rPr>
              <w:t xml:space="preserve"> – Udhëheqëse e divizionit për Tregun e Brendshëm, Ministria për Integrim </w:t>
            </w:r>
            <w:r w:rsidR="00DC2051">
              <w:rPr>
                <w:rFonts w:ascii="Times New Roman" w:hAnsi="Times New Roman" w:cs="Times New Roman"/>
                <w:b/>
                <w:sz w:val="24"/>
                <w:szCs w:val="24"/>
              </w:rPr>
              <w:t>Evropian</w:t>
            </w:r>
            <w:r w:rsidR="009B0878" w:rsidRPr="000D3717">
              <w:rPr>
                <w:rFonts w:ascii="Times New Roman" w:hAnsi="Times New Roman" w:cs="Times New Roman"/>
                <w:b/>
                <w:sz w:val="24"/>
                <w:szCs w:val="24"/>
              </w:rPr>
              <w:t xml:space="preserve"> -</w:t>
            </w:r>
            <w:r w:rsidR="009B0878" w:rsidRPr="000D3717">
              <w:rPr>
                <w:rFonts w:ascii="Times New Roman" w:hAnsi="Times New Roman" w:cs="Times New Roman"/>
                <w:b/>
                <w:color w:val="FF0000"/>
                <w:sz w:val="24"/>
                <w:szCs w:val="24"/>
              </w:rPr>
              <w:t xml:space="preserve"> </w:t>
            </w:r>
            <w:r w:rsidR="009B0878" w:rsidRPr="000D3717">
              <w:rPr>
                <w:rFonts w:ascii="Times New Roman" w:hAnsi="Times New Roman" w:cs="Times New Roman"/>
                <w:b/>
                <w:sz w:val="24"/>
                <w:szCs w:val="24"/>
              </w:rPr>
              <w:t xml:space="preserve"> anëtare</w:t>
            </w:r>
          </w:p>
          <w:p w14:paraId="623B8257"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Merlinda Ramaj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Zyrtare Ligjore (MTI)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w:t>
            </w:r>
            <w:r w:rsidR="005A4320" w:rsidRPr="000D3717">
              <w:rPr>
                <w:rFonts w:ascii="Times New Roman" w:hAnsi="Times New Roman" w:cs="Times New Roman"/>
                <w:b/>
                <w:sz w:val="24"/>
                <w:szCs w:val="24"/>
              </w:rPr>
              <w:t>anëtare</w:t>
            </w:r>
          </w:p>
          <w:p w14:paraId="20042BB8" w14:textId="77777777" w:rsidR="003C0FF0" w:rsidRPr="000D3717" w:rsidRDefault="003C0FF0" w:rsidP="005D592D">
            <w:pPr>
              <w:pStyle w:val="ListParagraph"/>
              <w:numPr>
                <w:ilvl w:val="0"/>
                <w:numId w:val="15"/>
              </w:numPr>
              <w:rPr>
                <w:rFonts w:ascii="Times New Roman" w:hAnsi="Times New Roman" w:cs="Times New Roman"/>
                <w:b/>
                <w:sz w:val="24"/>
                <w:szCs w:val="24"/>
              </w:rPr>
            </w:pPr>
            <w:r w:rsidRPr="000D3717">
              <w:rPr>
                <w:rFonts w:ascii="Times New Roman" w:hAnsi="Times New Roman" w:cs="Times New Roman"/>
                <w:b/>
                <w:sz w:val="24"/>
                <w:szCs w:val="24"/>
              </w:rPr>
              <w:t xml:space="preserve">Alba Boshnjaku </w:t>
            </w:r>
            <w:r w:rsidR="005A4320" w:rsidRPr="000D3717">
              <w:rPr>
                <w:rFonts w:ascii="Times New Roman" w:hAnsi="Times New Roman" w:cs="Times New Roman"/>
                <w:b/>
                <w:sz w:val="24"/>
                <w:szCs w:val="24"/>
              </w:rPr>
              <w:t>-</w:t>
            </w:r>
            <w:r w:rsidRPr="000D3717">
              <w:rPr>
                <w:rFonts w:ascii="Times New Roman" w:hAnsi="Times New Roman" w:cs="Times New Roman"/>
                <w:b/>
                <w:sz w:val="24"/>
                <w:szCs w:val="24"/>
              </w:rPr>
              <w:t xml:space="preserve"> Zyrtare Ligjore (MI</w:t>
            </w:r>
            <w:r w:rsidR="00D30B10" w:rsidRPr="000D3717">
              <w:rPr>
                <w:rFonts w:ascii="Times New Roman" w:hAnsi="Times New Roman" w:cs="Times New Roman"/>
                <w:b/>
                <w:sz w:val="24"/>
                <w:szCs w:val="24"/>
              </w:rPr>
              <w:t>E</w:t>
            </w:r>
            <w:r w:rsidRPr="000D3717">
              <w:rPr>
                <w:rFonts w:ascii="Times New Roman" w:hAnsi="Times New Roman" w:cs="Times New Roman"/>
                <w:b/>
                <w:sz w:val="24"/>
                <w:szCs w:val="24"/>
              </w:rPr>
              <w:t xml:space="preserve">) - </w:t>
            </w:r>
            <w:r w:rsidR="005A4320" w:rsidRPr="000D3717">
              <w:rPr>
                <w:rFonts w:ascii="Times New Roman" w:hAnsi="Times New Roman" w:cs="Times New Roman"/>
                <w:b/>
                <w:sz w:val="24"/>
                <w:szCs w:val="24"/>
              </w:rPr>
              <w:t>anëtare</w:t>
            </w:r>
          </w:p>
          <w:p w14:paraId="5B0E0769" w14:textId="77777777" w:rsidR="0075339D" w:rsidRPr="000D3717" w:rsidRDefault="0075339D" w:rsidP="008D7069">
            <w:pPr>
              <w:rPr>
                <w:rFonts w:ascii="Times New Roman" w:hAnsi="Times New Roman" w:cs="Times New Roman"/>
                <w:sz w:val="24"/>
                <w:szCs w:val="24"/>
              </w:rPr>
            </w:pPr>
          </w:p>
        </w:tc>
      </w:tr>
      <w:tr w:rsidR="0075339D" w:rsidRPr="000D3717" w14:paraId="590F4D89" w14:textId="77777777" w:rsidTr="008D7069">
        <w:tc>
          <w:tcPr>
            <w:tcW w:w="1795" w:type="dxa"/>
          </w:tcPr>
          <w:p w14:paraId="475F5882" w14:textId="77777777" w:rsidR="0075339D" w:rsidRPr="000D3717" w:rsidRDefault="00162D8C" w:rsidP="008D7069">
            <w:pPr>
              <w:rPr>
                <w:rFonts w:ascii="Times New Roman" w:hAnsi="Times New Roman" w:cs="Times New Roman"/>
                <w:sz w:val="24"/>
                <w:szCs w:val="24"/>
              </w:rPr>
            </w:pPr>
            <w:r w:rsidRPr="000D3717">
              <w:rPr>
                <w:rFonts w:ascii="Times New Roman" w:hAnsi="Times New Roman" w:cs="Times New Roman"/>
                <w:sz w:val="24"/>
                <w:szCs w:val="24"/>
              </w:rPr>
              <w:t>Informata shtesë</w:t>
            </w:r>
          </w:p>
        </w:tc>
        <w:tc>
          <w:tcPr>
            <w:tcW w:w="8100" w:type="dxa"/>
          </w:tcPr>
          <w:p w14:paraId="2FD35276" w14:textId="77777777" w:rsidR="0075339D" w:rsidRPr="000D3717" w:rsidRDefault="00FA4C00" w:rsidP="008D7069">
            <w:pPr>
              <w:rPr>
                <w:rFonts w:ascii="Times New Roman" w:hAnsi="Times New Roman" w:cs="Times New Roman"/>
                <w:b/>
                <w:sz w:val="24"/>
                <w:szCs w:val="24"/>
              </w:rPr>
            </w:pPr>
            <w:r w:rsidRPr="000D3717">
              <w:rPr>
                <w:rFonts w:ascii="Times New Roman" w:hAnsi="Times New Roman" w:cs="Times New Roman"/>
                <w:b/>
                <w:sz w:val="24"/>
                <w:szCs w:val="24"/>
              </w:rPr>
              <w:t xml:space="preserve">Nuk ka informata shtesë </w:t>
            </w:r>
          </w:p>
        </w:tc>
      </w:tr>
    </w:tbl>
    <w:p w14:paraId="3B1E645A" w14:textId="77777777" w:rsidR="0075339D" w:rsidRPr="000D3717" w:rsidRDefault="0075339D" w:rsidP="0075339D">
      <w:pPr>
        <w:rPr>
          <w:rFonts w:ascii="Times New Roman" w:hAnsi="Times New Roman" w:cs="Times New Roman"/>
          <w:sz w:val="24"/>
          <w:szCs w:val="24"/>
        </w:rPr>
      </w:pPr>
    </w:p>
    <w:p w14:paraId="17FC9389" w14:textId="77777777" w:rsidR="0075339D" w:rsidRPr="000D3717" w:rsidRDefault="00180BB0" w:rsidP="00A61B6E">
      <w:pPr>
        <w:pStyle w:val="Heading1"/>
        <w:rPr>
          <w:rFonts w:ascii="Times New Roman" w:hAnsi="Times New Roman" w:cs="Times New Roman"/>
          <w:sz w:val="24"/>
          <w:szCs w:val="24"/>
        </w:rPr>
      </w:pPr>
      <w:bookmarkStart w:id="2" w:name="_Toc532388152"/>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1: </w:t>
      </w:r>
      <w:r w:rsidRPr="000D3717">
        <w:rPr>
          <w:rFonts w:ascii="Times New Roman" w:hAnsi="Times New Roman" w:cs="Times New Roman"/>
          <w:sz w:val="24"/>
          <w:szCs w:val="24"/>
        </w:rPr>
        <w:t>Përkufizimi i problemit</w:t>
      </w:r>
      <w:bookmarkEnd w:id="2"/>
    </w:p>
    <w:p w14:paraId="4FB4A325" w14:textId="77777777" w:rsidR="00C214C5" w:rsidRPr="000D3717" w:rsidRDefault="00C214C5" w:rsidP="00C214C5">
      <w:pPr>
        <w:pStyle w:val="Heading1"/>
        <w:spacing w:before="0" w:line="360" w:lineRule="auto"/>
        <w:jc w:val="both"/>
        <w:rPr>
          <w:rFonts w:ascii="Times New Roman" w:hAnsi="Times New Roman" w:cs="Times New Roman"/>
          <w:sz w:val="24"/>
          <w:szCs w:val="24"/>
        </w:rPr>
      </w:pPr>
    </w:p>
    <w:p w14:paraId="5FE39B01" w14:textId="77777777" w:rsidR="00C214C5" w:rsidRPr="000D3717" w:rsidRDefault="00C214C5"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Autoriteti Kosovar i Konkurrencës është institucion  publik, i pavarur në kryerjen e detyrave të veta të përcaktuara në këtë ligj, për të cilat i përgjigjet Kuvendit të Republikës së Kosovës. Autoriteti është person juridik me seli në Prishtinë. Brenda Autoritetit </w:t>
      </w:r>
      <w:r w:rsidR="00ED78EF" w:rsidRPr="000D3717">
        <w:rPr>
          <w:rFonts w:ascii="Times New Roman" w:hAnsi="Times New Roman" w:cs="Times New Roman"/>
          <w:sz w:val="24"/>
          <w:szCs w:val="24"/>
        </w:rPr>
        <w:t>ekziston</w:t>
      </w:r>
      <w:r w:rsidRPr="000D3717">
        <w:rPr>
          <w:rFonts w:ascii="Times New Roman" w:hAnsi="Times New Roman" w:cs="Times New Roman"/>
          <w:sz w:val="24"/>
          <w:szCs w:val="24"/>
        </w:rPr>
        <w:t xml:space="preserve"> dhe Komisioni për Mbrojtjen e Konkurrencës i cili është organ kolegjial që menaxhon me  punën e Autoritetit,  përbëhet nga pesë (5) anëtarë, njeri prej të cilëve është kryetar i Komisionit. Kryetari i Komisionit  udhëheq  organizon dhe drejton punën dhe veprimtarinë e Autoritetit dhe është përgjegjës për punën profesionale të Autoritetit Kryetarin dhe anëtaret e tjerë të Komisionit i zgjedh Qeveria përmes konkursit të hapur dhe ia dërgon Kuvendit të Kosovës për emërim. </w:t>
      </w:r>
    </w:p>
    <w:p w14:paraId="39BE6A07" w14:textId="5A299335" w:rsidR="00AC5E53" w:rsidRPr="000D3717" w:rsidRDefault="00AC5E53" w:rsidP="000D3717">
      <w:pPr>
        <w:spacing w:line="360" w:lineRule="auto"/>
        <w:jc w:val="both"/>
        <w:rPr>
          <w:rFonts w:ascii="Times New Roman" w:hAnsi="Times New Roman" w:cs="Times New Roman"/>
          <w:sz w:val="24"/>
          <w:szCs w:val="24"/>
        </w:rPr>
      </w:pPr>
      <w:bookmarkStart w:id="3" w:name="_Toc464182170"/>
      <w:r w:rsidRPr="000D3717">
        <w:rPr>
          <w:rFonts w:ascii="Times New Roman" w:hAnsi="Times New Roman" w:cs="Times New Roman"/>
          <w:sz w:val="24"/>
          <w:szCs w:val="24"/>
        </w:rPr>
        <w:t>Funksioni i Autoriteti</w:t>
      </w:r>
      <w:r w:rsidR="00BD1047">
        <w:rPr>
          <w:rFonts w:ascii="Times New Roman" w:hAnsi="Times New Roman" w:cs="Times New Roman"/>
          <w:sz w:val="24"/>
          <w:szCs w:val="24"/>
        </w:rPr>
        <w:t>t</w:t>
      </w:r>
      <w:r w:rsidRPr="000D3717">
        <w:rPr>
          <w:rFonts w:ascii="Times New Roman" w:hAnsi="Times New Roman" w:cs="Times New Roman"/>
          <w:sz w:val="24"/>
          <w:szCs w:val="24"/>
        </w:rPr>
        <w:t xml:space="preserve"> Kosovar të Konkurrencës është i rregulluar me Ligjin 03/-229 për Mbrojtjen e Konkurrencës. </w:t>
      </w:r>
      <w:r w:rsidR="00546D83" w:rsidRPr="000D3717">
        <w:rPr>
          <w:rFonts w:ascii="Times New Roman" w:hAnsi="Times New Roman" w:cs="Times New Roman"/>
          <w:sz w:val="24"/>
          <w:szCs w:val="24"/>
        </w:rPr>
        <w:t xml:space="preserve"> Ky Ligj së</w:t>
      </w:r>
      <w:r w:rsidRPr="000D3717">
        <w:rPr>
          <w:rFonts w:ascii="Times New Roman" w:hAnsi="Times New Roman" w:cs="Times New Roman"/>
          <w:sz w:val="24"/>
          <w:szCs w:val="24"/>
        </w:rPr>
        <w:t xml:space="preserve"> bashku me </w:t>
      </w:r>
      <w:r w:rsidR="00BA20AF" w:rsidRPr="000D3717">
        <w:rPr>
          <w:rFonts w:ascii="Times New Roman" w:hAnsi="Times New Roman" w:cs="Times New Roman"/>
          <w:sz w:val="24"/>
          <w:szCs w:val="24"/>
        </w:rPr>
        <w:t>infrastrukturën</w:t>
      </w:r>
      <w:r w:rsidRPr="000D3717">
        <w:rPr>
          <w:rFonts w:ascii="Times New Roman" w:hAnsi="Times New Roman" w:cs="Times New Roman"/>
          <w:sz w:val="24"/>
          <w:szCs w:val="24"/>
        </w:rPr>
        <w:t xml:space="preserve"> ligjore</w:t>
      </w:r>
      <w:r w:rsidR="00176499" w:rsidRPr="000D3717">
        <w:rPr>
          <w:rFonts w:ascii="Times New Roman" w:hAnsi="Times New Roman" w:cs="Times New Roman"/>
          <w:sz w:val="24"/>
          <w:szCs w:val="24"/>
        </w:rPr>
        <w:t xml:space="preserve"> (</w:t>
      </w:r>
      <w:r w:rsidR="00546D83" w:rsidRPr="000D3717">
        <w:rPr>
          <w:rFonts w:ascii="Times New Roman" w:hAnsi="Times New Roman" w:cs="Times New Roman"/>
          <w:sz w:val="24"/>
          <w:szCs w:val="24"/>
        </w:rPr>
        <w:t>Udhëzimet</w:t>
      </w:r>
      <w:r w:rsidR="00176499" w:rsidRPr="000D3717">
        <w:rPr>
          <w:rFonts w:ascii="Times New Roman" w:hAnsi="Times New Roman" w:cs="Times New Roman"/>
          <w:sz w:val="24"/>
          <w:szCs w:val="24"/>
        </w:rPr>
        <w:t xml:space="preserve"> </w:t>
      </w:r>
      <w:r w:rsidR="00546D83" w:rsidRPr="000D3717">
        <w:rPr>
          <w:rFonts w:ascii="Times New Roman" w:hAnsi="Times New Roman" w:cs="Times New Roman"/>
          <w:sz w:val="24"/>
          <w:szCs w:val="24"/>
        </w:rPr>
        <w:lastRenderedPageBreak/>
        <w:t>Administrative</w:t>
      </w:r>
      <w:r w:rsidR="00176499" w:rsidRPr="000D3717">
        <w:rPr>
          <w:rFonts w:ascii="Times New Roman" w:hAnsi="Times New Roman" w:cs="Times New Roman"/>
          <w:sz w:val="24"/>
          <w:szCs w:val="24"/>
        </w:rPr>
        <w:t xml:space="preserve"> dhe </w:t>
      </w:r>
      <w:r w:rsidR="00546D83" w:rsidRPr="000D3717">
        <w:rPr>
          <w:rFonts w:ascii="Times New Roman" w:hAnsi="Times New Roman" w:cs="Times New Roman"/>
          <w:sz w:val="24"/>
          <w:szCs w:val="24"/>
        </w:rPr>
        <w:t>Rregulloret</w:t>
      </w:r>
      <w:r w:rsidR="00176499" w:rsidRPr="000D3717">
        <w:rPr>
          <w:rFonts w:ascii="Times New Roman" w:hAnsi="Times New Roman" w:cs="Times New Roman"/>
          <w:sz w:val="24"/>
          <w:szCs w:val="24"/>
        </w:rPr>
        <w:t>)</w:t>
      </w:r>
      <w:r w:rsidRPr="000D3717">
        <w:rPr>
          <w:rFonts w:ascii="Times New Roman" w:hAnsi="Times New Roman" w:cs="Times New Roman"/>
          <w:sz w:val="24"/>
          <w:szCs w:val="24"/>
        </w:rPr>
        <w:t xml:space="preserve"> definon </w:t>
      </w:r>
      <w:r w:rsidR="00546D83" w:rsidRPr="000D3717">
        <w:rPr>
          <w:rFonts w:ascii="Times New Roman" w:hAnsi="Times New Roman" w:cs="Times New Roman"/>
          <w:sz w:val="24"/>
          <w:szCs w:val="24"/>
        </w:rPr>
        <w:t>hapësirën</w:t>
      </w:r>
      <w:r w:rsidRPr="000D3717">
        <w:rPr>
          <w:rFonts w:ascii="Times New Roman" w:hAnsi="Times New Roman" w:cs="Times New Roman"/>
          <w:sz w:val="24"/>
          <w:szCs w:val="24"/>
        </w:rPr>
        <w:t xml:space="preserve"> e </w:t>
      </w:r>
      <w:r w:rsidR="00546D83" w:rsidRPr="000D3717">
        <w:rPr>
          <w:rFonts w:ascii="Times New Roman" w:hAnsi="Times New Roman" w:cs="Times New Roman"/>
          <w:sz w:val="24"/>
          <w:szCs w:val="24"/>
        </w:rPr>
        <w:t>veprimit të</w:t>
      </w:r>
      <w:r w:rsidRPr="000D3717">
        <w:rPr>
          <w:rFonts w:ascii="Times New Roman" w:hAnsi="Times New Roman" w:cs="Times New Roman"/>
          <w:sz w:val="24"/>
          <w:szCs w:val="24"/>
        </w:rPr>
        <w:t xml:space="preserve"> </w:t>
      </w:r>
      <w:r w:rsidRPr="000C25D9">
        <w:rPr>
          <w:rFonts w:ascii="Times New Roman" w:hAnsi="Times New Roman" w:cs="Times New Roman"/>
          <w:color w:val="000000" w:themeColor="text1"/>
          <w:sz w:val="24"/>
          <w:szCs w:val="24"/>
        </w:rPr>
        <w:t xml:space="preserve">Autoritetit dhe instrumentet </w:t>
      </w:r>
      <w:r w:rsidR="00546D83" w:rsidRPr="000C25D9">
        <w:rPr>
          <w:rFonts w:ascii="Times New Roman" w:hAnsi="Times New Roman" w:cs="Times New Roman"/>
          <w:color w:val="000000" w:themeColor="text1"/>
          <w:sz w:val="24"/>
          <w:szCs w:val="24"/>
        </w:rPr>
        <w:t>për</w:t>
      </w:r>
      <w:r w:rsidRPr="000C25D9">
        <w:rPr>
          <w:rFonts w:ascii="Times New Roman" w:hAnsi="Times New Roman" w:cs="Times New Roman"/>
          <w:color w:val="000000" w:themeColor="text1"/>
          <w:sz w:val="24"/>
          <w:szCs w:val="24"/>
        </w:rPr>
        <w:t xml:space="preserve"> mbrojtjen e </w:t>
      </w:r>
      <w:r w:rsidR="00546D83" w:rsidRPr="000C25D9">
        <w:rPr>
          <w:rFonts w:ascii="Times New Roman" w:hAnsi="Times New Roman" w:cs="Times New Roman"/>
          <w:color w:val="000000" w:themeColor="text1"/>
          <w:sz w:val="24"/>
          <w:szCs w:val="24"/>
        </w:rPr>
        <w:t>konkurrencës në</w:t>
      </w:r>
      <w:r w:rsidRPr="000C25D9">
        <w:rPr>
          <w:rFonts w:ascii="Times New Roman" w:hAnsi="Times New Roman" w:cs="Times New Roman"/>
          <w:color w:val="000000" w:themeColor="text1"/>
          <w:sz w:val="24"/>
          <w:szCs w:val="24"/>
        </w:rPr>
        <w:t xml:space="preserve"> </w:t>
      </w:r>
      <w:r w:rsidR="00546D83" w:rsidRPr="000C25D9">
        <w:rPr>
          <w:rFonts w:ascii="Times New Roman" w:hAnsi="Times New Roman" w:cs="Times New Roman"/>
          <w:color w:val="000000" w:themeColor="text1"/>
          <w:sz w:val="24"/>
          <w:szCs w:val="24"/>
        </w:rPr>
        <w:t>Republikën</w:t>
      </w:r>
      <w:r w:rsidRPr="000C25D9">
        <w:rPr>
          <w:rFonts w:ascii="Times New Roman" w:hAnsi="Times New Roman" w:cs="Times New Roman"/>
          <w:color w:val="000000" w:themeColor="text1"/>
          <w:sz w:val="24"/>
          <w:szCs w:val="24"/>
        </w:rPr>
        <w:t xml:space="preserve"> e </w:t>
      </w:r>
      <w:r w:rsidR="00546D83" w:rsidRPr="000C25D9">
        <w:rPr>
          <w:rFonts w:ascii="Times New Roman" w:hAnsi="Times New Roman" w:cs="Times New Roman"/>
          <w:color w:val="000000" w:themeColor="text1"/>
          <w:sz w:val="24"/>
          <w:szCs w:val="24"/>
        </w:rPr>
        <w:t>Kosovës</w:t>
      </w:r>
      <w:r w:rsidRPr="000C25D9">
        <w:rPr>
          <w:rFonts w:ascii="Times New Roman" w:hAnsi="Times New Roman" w:cs="Times New Roman"/>
          <w:color w:val="000000" w:themeColor="text1"/>
          <w:sz w:val="24"/>
          <w:szCs w:val="24"/>
        </w:rPr>
        <w:t xml:space="preserve">. Nisur nga kjo, </w:t>
      </w:r>
      <w:r w:rsidR="00546D83" w:rsidRPr="000C25D9">
        <w:rPr>
          <w:rFonts w:ascii="Times New Roman" w:hAnsi="Times New Roman" w:cs="Times New Roman"/>
          <w:color w:val="000000" w:themeColor="text1"/>
          <w:sz w:val="24"/>
          <w:szCs w:val="24"/>
        </w:rPr>
        <w:t>çdo</w:t>
      </w:r>
      <w:r w:rsidRPr="000C25D9">
        <w:rPr>
          <w:rFonts w:ascii="Times New Roman" w:hAnsi="Times New Roman" w:cs="Times New Roman"/>
          <w:color w:val="000000" w:themeColor="text1"/>
          <w:sz w:val="24"/>
          <w:szCs w:val="24"/>
        </w:rPr>
        <w:t xml:space="preserve"> mangësi </w:t>
      </w:r>
      <w:r w:rsidR="00176499" w:rsidRPr="000C25D9">
        <w:rPr>
          <w:rFonts w:ascii="Times New Roman" w:hAnsi="Times New Roman" w:cs="Times New Roman"/>
          <w:color w:val="000000" w:themeColor="text1"/>
          <w:sz w:val="24"/>
          <w:szCs w:val="24"/>
        </w:rPr>
        <w:t xml:space="preserve">e </w:t>
      </w:r>
      <w:r w:rsidR="00546D83" w:rsidRPr="000C25D9">
        <w:rPr>
          <w:rFonts w:ascii="Times New Roman" w:hAnsi="Times New Roman" w:cs="Times New Roman"/>
          <w:color w:val="000000" w:themeColor="text1"/>
          <w:sz w:val="24"/>
          <w:szCs w:val="24"/>
        </w:rPr>
        <w:t>identifikuar</w:t>
      </w:r>
      <w:r w:rsidR="00176499" w:rsidRPr="000C25D9">
        <w:rPr>
          <w:rFonts w:ascii="Times New Roman" w:hAnsi="Times New Roman" w:cs="Times New Roman"/>
          <w:color w:val="000000" w:themeColor="text1"/>
          <w:sz w:val="24"/>
          <w:szCs w:val="24"/>
        </w:rPr>
        <w:t xml:space="preserve"> nga Autoriteti dhe grupet e interesit </w:t>
      </w:r>
      <w:r w:rsidR="00546D83" w:rsidRPr="000C25D9">
        <w:rPr>
          <w:rFonts w:ascii="Times New Roman" w:hAnsi="Times New Roman" w:cs="Times New Roman"/>
          <w:color w:val="000000" w:themeColor="text1"/>
          <w:sz w:val="24"/>
          <w:szCs w:val="24"/>
        </w:rPr>
        <w:t>në</w:t>
      </w:r>
      <w:r w:rsidRPr="000C25D9">
        <w:rPr>
          <w:rFonts w:ascii="Times New Roman" w:hAnsi="Times New Roman" w:cs="Times New Roman"/>
          <w:color w:val="000000" w:themeColor="text1"/>
          <w:sz w:val="24"/>
          <w:szCs w:val="24"/>
        </w:rPr>
        <w:t xml:space="preserve"> </w:t>
      </w:r>
      <w:r w:rsidR="00176499" w:rsidRPr="000C25D9">
        <w:rPr>
          <w:rFonts w:ascii="Times New Roman" w:hAnsi="Times New Roman" w:cs="Times New Roman"/>
          <w:color w:val="000000" w:themeColor="text1"/>
          <w:sz w:val="24"/>
          <w:szCs w:val="24"/>
        </w:rPr>
        <w:t xml:space="preserve">kuadrin </w:t>
      </w:r>
      <w:r w:rsidR="00546D83" w:rsidRPr="000C25D9">
        <w:rPr>
          <w:rFonts w:ascii="Times New Roman" w:hAnsi="Times New Roman" w:cs="Times New Roman"/>
          <w:color w:val="000000" w:themeColor="text1"/>
          <w:sz w:val="24"/>
          <w:szCs w:val="24"/>
        </w:rPr>
        <w:t>ekzistues</w:t>
      </w:r>
      <w:r w:rsidR="00176499" w:rsidRPr="000C25D9">
        <w:rPr>
          <w:rFonts w:ascii="Times New Roman" w:hAnsi="Times New Roman" w:cs="Times New Roman"/>
          <w:color w:val="000000" w:themeColor="text1"/>
          <w:sz w:val="24"/>
          <w:szCs w:val="24"/>
        </w:rPr>
        <w:t xml:space="preserve"> ligjor </w:t>
      </w:r>
      <w:r w:rsidR="00546D83" w:rsidRPr="000C25D9">
        <w:rPr>
          <w:rFonts w:ascii="Times New Roman" w:hAnsi="Times New Roman" w:cs="Times New Roman"/>
          <w:color w:val="000000" w:themeColor="text1"/>
          <w:sz w:val="24"/>
          <w:szCs w:val="24"/>
        </w:rPr>
        <w:t>në respekt me institu</w:t>
      </w:r>
      <w:r w:rsidR="00176499" w:rsidRPr="000C25D9">
        <w:rPr>
          <w:rFonts w:ascii="Times New Roman" w:hAnsi="Times New Roman" w:cs="Times New Roman"/>
          <w:color w:val="000000" w:themeColor="text1"/>
          <w:sz w:val="24"/>
          <w:szCs w:val="24"/>
        </w:rPr>
        <w:t>cionet e tjera, tregun e</w:t>
      </w:r>
      <w:r w:rsidR="00176499" w:rsidRPr="000D3717">
        <w:rPr>
          <w:rFonts w:ascii="Times New Roman" w:hAnsi="Times New Roman" w:cs="Times New Roman"/>
          <w:sz w:val="24"/>
          <w:szCs w:val="24"/>
        </w:rPr>
        <w:t xml:space="preserve"> lire, dhe </w:t>
      </w:r>
      <w:proofErr w:type="spellStart"/>
      <w:r w:rsidR="00176499" w:rsidRPr="000D3717">
        <w:rPr>
          <w:rFonts w:ascii="Times New Roman" w:hAnsi="Times New Roman" w:cs="Times New Roman"/>
          <w:sz w:val="24"/>
          <w:szCs w:val="24"/>
        </w:rPr>
        <w:t>Acquis</w:t>
      </w:r>
      <w:proofErr w:type="spellEnd"/>
      <w:r w:rsidR="00FE7A1A">
        <w:rPr>
          <w:rFonts w:ascii="Times New Roman" w:hAnsi="Times New Roman" w:cs="Times New Roman"/>
          <w:sz w:val="24"/>
          <w:szCs w:val="24"/>
        </w:rPr>
        <w:t>,</w:t>
      </w:r>
      <w:r w:rsidR="00176499" w:rsidRPr="000D3717">
        <w:rPr>
          <w:rFonts w:ascii="Times New Roman" w:hAnsi="Times New Roman" w:cs="Times New Roman"/>
          <w:sz w:val="24"/>
          <w:szCs w:val="24"/>
        </w:rPr>
        <w:t xml:space="preserve"> shkakton mos </w:t>
      </w:r>
      <w:r w:rsidR="00546D83" w:rsidRPr="000D3717">
        <w:rPr>
          <w:rFonts w:ascii="Times New Roman" w:hAnsi="Times New Roman" w:cs="Times New Roman"/>
          <w:sz w:val="24"/>
          <w:szCs w:val="24"/>
        </w:rPr>
        <w:t>efikasitet në</w:t>
      </w:r>
      <w:r w:rsidR="00176499" w:rsidRPr="000D3717">
        <w:rPr>
          <w:rFonts w:ascii="Times New Roman" w:hAnsi="Times New Roman" w:cs="Times New Roman"/>
          <w:sz w:val="24"/>
          <w:szCs w:val="24"/>
        </w:rPr>
        <w:t xml:space="preserve"> funksionin e Autoritetit si dhe cenon konkurrencën </w:t>
      </w:r>
      <w:r w:rsidR="00546D83" w:rsidRPr="000D3717">
        <w:rPr>
          <w:rFonts w:ascii="Times New Roman" w:hAnsi="Times New Roman" w:cs="Times New Roman"/>
          <w:sz w:val="24"/>
          <w:szCs w:val="24"/>
        </w:rPr>
        <w:t>e lir</w:t>
      </w:r>
      <w:r w:rsidR="00BD1047">
        <w:rPr>
          <w:rFonts w:ascii="Times New Roman" w:hAnsi="Times New Roman" w:cs="Times New Roman"/>
          <w:sz w:val="24"/>
          <w:szCs w:val="24"/>
        </w:rPr>
        <w:t>ë</w:t>
      </w:r>
      <w:r w:rsidR="00546D83" w:rsidRPr="000D3717">
        <w:rPr>
          <w:rFonts w:ascii="Times New Roman" w:hAnsi="Times New Roman" w:cs="Times New Roman"/>
          <w:sz w:val="24"/>
          <w:szCs w:val="24"/>
        </w:rPr>
        <w:t xml:space="preserve"> në</w:t>
      </w:r>
      <w:r w:rsidR="00176499" w:rsidRPr="000D3717">
        <w:rPr>
          <w:rFonts w:ascii="Times New Roman" w:hAnsi="Times New Roman" w:cs="Times New Roman"/>
          <w:sz w:val="24"/>
          <w:szCs w:val="24"/>
        </w:rPr>
        <w:t xml:space="preserve"> tregun e </w:t>
      </w:r>
      <w:r w:rsidR="00546D83" w:rsidRPr="000D3717">
        <w:rPr>
          <w:rFonts w:ascii="Times New Roman" w:hAnsi="Times New Roman" w:cs="Times New Roman"/>
          <w:sz w:val="24"/>
          <w:szCs w:val="24"/>
        </w:rPr>
        <w:t>Kosovës</w:t>
      </w:r>
      <w:r w:rsidR="00176499" w:rsidRPr="000D3717">
        <w:rPr>
          <w:rFonts w:ascii="Times New Roman" w:hAnsi="Times New Roman" w:cs="Times New Roman"/>
          <w:sz w:val="24"/>
          <w:szCs w:val="24"/>
        </w:rPr>
        <w:t xml:space="preserve">. Andaj përkufizimi </w:t>
      </w:r>
      <w:r w:rsidR="00546D83" w:rsidRPr="000D3717">
        <w:rPr>
          <w:rFonts w:ascii="Times New Roman" w:hAnsi="Times New Roman" w:cs="Times New Roman"/>
          <w:sz w:val="24"/>
          <w:szCs w:val="24"/>
        </w:rPr>
        <w:t>i problemit në</w:t>
      </w:r>
      <w:r w:rsidR="00176499" w:rsidRPr="000D3717">
        <w:rPr>
          <w:rFonts w:ascii="Times New Roman" w:hAnsi="Times New Roman" w:cs="Times New Roman"/>
          <w:sz w:val="24"/>
          <w:szCs w:val="24"/>
        </w:rPr>
        <w:t xml:space="preserve"> </w:t>
      </w:r>
      <w:r w:rsidR="00546D83" w:rsidRPr="000D3717">
        <w:rPr>
          <w:rFonts w:ascii="Times New Roman" w:hAnsi="Times New Roman" w:cs="Times New Roman"/>
          <w:sz w:val="24"/>
          <w:szCs w:val="24"/>
        </w:rPr>
        <w:t>këtë Koncept Dokument do të</w:t>
      </w:r>
      <w:r w:rsidR="00176499" w:rsidRPr="000D3717">
        <w:rPr>
          <w:rFonts w:ascii="Times New Roman" w:hAnsi="Times New Roman" w:cs="Times New Roman"/>
          <w:sz w:val="24"/>
          <w:szCs w:val="24"/>
        </w:rPr>
        <w:t xml:space="preserve"> </w:t>
      </w:r>
      <w:r w:rsidR="00546D83" w:rsidRPr="000D3717">
        <w:rPr>
          <w:rFonts w:ascii="Times New Roman" w:hAnsi="Times New Roman" w:cs="Times New Roman"/>
          <w:sz w:val="24"/>
          <w:szCs w:val="24"/>
        </w:rPr>
        <w:t>mbështetet në</w:t>
      </w:r>
      <w:r w:rsidR="00176499" w:rsidRPr="000D3717">
        <w:rPr>
          <w:rFonts w:ascii="Times New Roman" w:hAnsi="Times New Roman" w:cs="Times New Roman"/>
          <w:sz w:val="24"/>
          <w:szCs w:val="24"/>
        </w:rPr>
        <w:t xml:space="preserve"> këto tre dimensione. </w:t>
      </w:r>
    </w:p>
    <w:p w14:paraId="58F66143" w14:textId="77777777" w:rsidR="00B15C8D" w:rsidRPr="000D3717" w:rsidRDefault="001D7987"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Në</w:t>
      </w:r>
      <w:r w:rsidR="00176499" w:rsidRPr="000D3717">
        <w:rPr>
          <w:rFonts w:ascii="Times New Roman" w:hAnsi="Times New Roman" w:cs="Times New Roman"/>
          <w:sz w:val="24"/>
          <w:szCs w:val="24"/>
        </w:rPr>
        <w:t xml:space="preserve"> përkufizimin e Problemit </w:t>
      </w:r>
      <w:r w:rsidRPr="000C25D9">
        <w:rPr>
          <w:rFonts w:ascii="Times New Roman" w:hAnsi="Times New Roman" w:cs="Times New Roman"/>
          <w:color w:val="000000" w:themeColor="text1"/>
          <w:sz w:val="24"/>
          <w:szCs w:val="24"/>
        </w:rPr>
        <w:t>janë</w:t>
      </w:r>
      <w:r w:rsidR="00176499" w:rsidRPr="000C25D9">
        <w:rPr>
          <w:rFonts w:ascii="Times New Roman" w:hAnsi="Times New Roman" w:cs="Times New Roman"/>
          <w:color w:val="000000" w:themeColor="text1"/>
          <w:sz w:val="24"/>
          <w:szCs w:val="24"/>
        </w:rPr>
        <w:t xml:space="preserve"> konsultuar </w:t>
      </w:r>
      <w:proofErr w:type="spellStart"/>
      <w:r w:rsidR="00176499" w:rsidRPr="000C25D9">
        <w:rPr>
          <w:rFonts w:ascii="Times New Roman" w:hAnsi="Times New Roman" w:cs="Times New Roman"/>
          <w:color w:val="000000" w:themeColor="text1"/>
          <w:sz w:val="24"/>
          <w:szCs w:val="24"/>
        </w:rPr>
        <w:t>inputet</w:t>
      </w:r>
      <w:proofErr w:type="spellEnd"/>
      <w:r w:rsidR="00176499" w:rsidRPr="000C25D9">
        <w:rPr>
          <w:rFonts w:ascii="Times New Roman" w:hAnsi="Times New Roman" w:cs="Times New Roman"/>
          <w:color w:val="000000" w:themeColor="text1"/>
          <w:sz w:val="24"/>
          <w:szCs w:val="24"/>
        </w:rPr>
        <w:t xml:space="preserve"> </w:t>
      </w:r>
      <w:r w:rsidR="00176499" w:rsidRPr="000D3717">
        <w:rPr>
          <w:rFonts w:ascii="Times New Roman" w:hAnsi="Times New Roman" w:cs="Times New Roman"/>
          <w:sz w:val="24"/>
          <w:szCs w:val="24"/>
        </w:rPr>
        <w:t xml:space="preserve">nga: Konsultimet Publike me palët e interesit, ligjet, aktet nënligjore dhe raportet e </w:t>
      </w:r>
      <w:r w:rsidRPr="000D3717">
        <w:rPr>
          <w:rFonts w:ascii="Times New Roman" w:hAnsi="Times New Roman" w:cs="Times New Roman"/>
          <w:sz w:val="24"/>
          <w:szCs w:val="24"/>
        </w:rPr>
        <w:t>ndryshme që</w:t>
      </w:r>
      <w:r w:rsidR="00176499" w:rsidRPr="000D3717">
        <w:rPr>
          <w:rFonts w:ascii="Times New Roman" w:hAnsi="Times New Roman" w:cs="Times New Roman"/>
          <w:sz w:val="24"/>
          <w:szCs w:val="24"/>
        </w:rPr>
        <w:t xml:space="preserve"> e kan</w:t>
      </w:r>
      <w:r w:rsidR="00FE7A1A">
        <w:rPr>
          <w:rFonts w:ascii="Times New Roman" w:hAnsi="Times New Roman" w:cs="Times New Roman"/>
          <w:sz w:val="24"/>
          <w:szCs w:val="24"/>
        </w:rPr>
        <w:t>ë</w:t>
      </w:r>
      <w:r w:rsidR="00176499" w:rsidRPr="000D3717">
        <w:rPr>
          <w:rFonts w:ascii="Times New Roman" w:hAnsi="Times New Roman" w:cs="Times New Roman"/>
          <w:sz w:val="24"/>
          <w:szCs w:val="24"/>
        </w:rPr>
        <w:t xml:space="preserve"> analizuar </w:t>
      </w:r>
      <w:r w:rsidRPr="000D3717">
        <w:rPr>
          <w:rFonts w:ascii="Times New Roman" w:hAnsi="Times New Roman" w:cs="Times New Roman"/>
          <w:sz w:val="24"/>
          <w:szCs w:val="24"/>
        </w:rPr>
        <w:t>këtë</w:t>
      </w:r>
      <w:r w:rsidR="00176499" w:rsidRPr="000D3717">
        <w:rPr>
          <w:rFonts w:ascii="Times New Roman" w:hAnsi="Times New Roman" w:cs="Times New Roman"/>
          <w:sz w:val="24"/>
          <w:szCs w:val="24"/>
        </w:rPr>
        <w:t xml:space="preserve"> </w:t>
      </w:r>
      <w:r w:rsidR="00BA20AF" w:rsidRPr="000D3717">
        <w:rPr>
          <w:rFonts w:ascii="Times New Roman" w:hAnsi="Times New Roman" w:cs="Times New Roman"/>
          <w:sz w:val="24"/>
          <w:szCs w:val="24"/>
        </w:rPr>
        <w:t>institucion</w:t>
      </w:r>
      <w:r w:rsidRPr="000D3717">
        <w:rPr>
          <w:rFonts w:ascii="Times New Roman" w:hAnsi="Times New Roman" w:cs="Times New Roman"/>
          <w:sz w:val="24"/>
          <w:szCs w:val="24"/>
        </w:rPr>
        <w:t xml:space="preserve"> më herët</w:t>
      </w:r>
      <w:r w:rsidR="00176499" w:rsidRPr="000D3717">
        <w:rPr>
          <w:rFonts w:ascii="Times New Roman" w:hAnsi="Times New Roman" w:cs="Times New Roman"/>
          <w:sz w:val="24"/>
          <w:szCs w:val="24"/>
        </w:rPr>
        <w:t xml:space="preserve">, këtu </w:t>
      </w:r>
      <w:r w:rsidR="00B15C8D" w:rsidRPr="000D3717">
        <w:rPr>
          <w:rFonts w:ascii="Times New Roman" w:hAnsi="Times New Roman" w:cs="Times New Roman"/>
          <w:sz w:val="24"/>
          <w:szCs w:val="24"/>
        </w:rPr>
        <w:t>përfshihen:</w:t>
      </w:r>
      <w:r w:rsidR="00CC77E9" w:rsidRPr="000D3717">
        <w:rPr>
          <w:rFonts w:ascii="Times New Roman" w:hAnsi="Times New Roman" w:cs="Times New Roman"/>
          <w:sz w:val="24"/>
          <w:szCs w:val="24"/>
        </w:rPr>
        <w:t xml:space="preserve"> </w:t>
      </w:r>
    </w:p>
    <w:p w14:paraId="7EFE358E" w14:textId="77777777" w:rsidR="00B15C8D" w:rsidRPr="000D3717" w:rsidRDefault="00B15C8D" w:rsidP="000D3717">
      <w:pPr>
        <w:pStyle w:val="ListParagraph"/>
        <w:numPr>
          <w:ilvl w:val="0"/>
          <w:numId w:val="21"/>
        </w:num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Raporti Vjetor i AKK 2017</w:t>
      </w:r>
      <w:r w:rsidR="00BF051B" w:rsidRPr="000D3717">
        <w:rPr>
          <w:rFonts w:ascii="Times New Roman" w:hAnsi="Times New Roman" w:cs="Times New Roman"/>
          <w:sz w:val="24"/>
          <w:szCs w:val="24"/>
        </w:rPr>
        <w:t xml:space="preserve"> (</w:t>
      </w:r>
      <w:hyperlink r:id="rId10" w:history="1">
        <w:r w:rsidR="00BF051B" w:rsidRPr="000D3717">
          <w:rPr>
            <w:rStyle w:val="Hyperlink"/>
            <w:rFonts w:ascii="Times New Roman" w:hAnsi="Times New Roman" w:cs="Times New Roman"/>
            <w:sz w:val="24"/>
            <w:szCs w:val="24"/>
          </w:rPr>
          <w:t>https://ak.rks-gov.net/</w:t>
        </w:r>
      </w:hyperlink>
      <w:r w:rsidR="00BF051B" w:rsidRPr="000D3717">
        <w:rPr>
          <w:rFonts w:ascii="Times New Roman" w:hAnsi="Times New Roman" w:cs="Times New Roman"/>
          <w:sz w:val="24"/>
          <w:szCs w:val="24"/>
        </w:rPr>
        <w:t xml:space="preserve">) </w:t>
      </w:r>
    </w:p>
    <w:p w14:paraId="79599034" w14:textId="77777777" w:rsidR="00B15C8D" w:rsidRPr="000D3717" w:rsidRDefault="00B15C8D" w:rsidP="000D3717">
      <w:pPr>
        <w:pStyle w:val="ListParagraph"/>
        <w:numPr>
          <w:ilvl w:val="0"/>
          <w:numId w:val="21"/>
        </w:num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Raporti për </w:t>
      </w:r>
      <w:proofErr w:type="spellStart"/>
      <w:r w:rsidRPr="000D3717">
        <w:rPr>
          <w:rFonts w:ascii="Times New Roman" w:hAnsi="Times New Roman" w:cs="Times New Roman"/>
          <w:sz w:val="24"/>
          <w:szCs w:val="24"/>
        </w:rPr>
        <w:t>P</w:t>
      </w:r>
      <w:r w:rsidR="00FE7A1A">
        <w:rPr>
          <w:rFonts w:ascii="Times New Roman" w:hAnsi="Times New Roman" w:cs="Times New Roman"/>
          <w:sz w:val="24"/>
          <w:szCs w:val="24"/>
        </w:rPr>
        <w:t>ë</w:t>
      </w:r>
      <w:r w:rsidRPr="000D3717">
        <w:rPr>
          <w:rFonts w:ascii="Times New Roman" w:hAnsi="Times New Roman" w:cs="Times New Roman"/>
          <w:sz w:val="24"/>
          <w:szCs w:val="24"/>
        </w:rPr>
        <w:t>rformancën</w:t>
      </w:r>
      <w:proofErr w:type="spellEnd"/>
      <w:r w:rsidRPr="000D3717">
        <w:rPr>
          <w:rFonts w:ascii="Times New Roman" w:hAnsi="Times New Roman" w:cs="Times New Roman"/>
          <w:sz w:val="24"/>
          <w:szCs w:val="24"/>
        </w:rPr>
        <w:t xml:space="preserve"> e Autoriteti të Konkurrencës (GLPS)</w:t>
      </w:r>
      <w:r w:rsidR="00BF051B" w:rsidRPr="000D3717">
        <w:rPr>
          <w:rFonts w:ascii="Times New Roman" w:hAnsi="Times New Roman" w:cs="Times New Roman"/>
          <w:sz w:val="24"/>
          <w:szCs w:val="24"/>
        </w:rPr>
        <w:t xml:space="preserve"> (</w:t>
      </w:r>
      <w:hyperlink r:id="rId11" w:history="1">
        <w:r w:rsidR="00BF051B" w:rsidRPr="000D3717">
          <w:rPr>
            <w:rStyle w:val="Hyperlink"/>
            <w:rFonts w:ascii="Times New Roman" w:hAnsi="Times New Roman" w:cs="Times New Roman"/>
            <w:sz w:val="24"/>
            <w:szCs w:val="24"/>
          </w:rPr>
          <w:t>https://ak.rks-gov.net/</w:t>
        </w:r>
      </w:hyperlink>
      <w:r w:rsidR="00BF051B" w:rsidRPr="000D3717">
        <w:rPr>
          <w:rFonts w:ascii="Times New Roman" w:hAnsi="Times New Roman" w:cs="Times New Roman"/>
          <w:sz w:val="24"/>
          <w:szCs w:val="24"/>
        </w:rPr>
        <w:t xml:space="preserve">) </w:t>
      </w:r>
    </w:p>
    <w:p w14:paraId="7BFE1266" w14:textId="77777777" w:rsidR="00B15C8D" w:rsidRPr="000D3717" w:rsidRDefault="00B15C8D" w:rsidP="000D3717">
      <w:pPr>
        <w:pStyle w:val="ListParagraph"/>
        <w:numPr>
          <w:ilvl w:val="0"/>
          <w:numId w:val="21"/>
        </w:num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R</w:t>
      </w:r>
      <w:r w:rsidR="00CC77E9" w:rsidRPr="000D3717">
        <w:rPr>
          <w:rFonts w:ascii="Times New Roman" w:hAnsi="Times New Roman" w:cs="Times New Roman"/>
          <w:sz w:val="24"/>
          <w:szCs w:val="24"/>
        </w:rPr>
        <w:t>aporti</w:t>
      </w:r>
      <w:r w:rsidRPr="000D3717">
        <w:rPr>
          <w:rFonts w:ascii="Times New Roman" w:hAnsi="Times New Roman" w:cs="Times New Roman"/>
          <w:sz w:val="24"/>
          <w:szCs w:val="24"/>
        </w:rPr>
        <w:t xml:space="preserve"> </w:t>
      </w:r>
      <w:r w:rsidR="00CC77E9" w:rsidRPr="000D3717">
        <w:rPr>
          <w:rFonts w:ascii="Times New Roman" w:hAnsi="Times New Roman" w:cs="Times New Roman"/>
          <w:sz w:val="24"/>
          <w:szCs w:val="24"/>
        </w:rPr>
        <w:t>“</w:t>
      </w:r>
      <w:r w:rsidR="00176499" w:rsidRPr="000D3717">
        <w:rPr>
          <w:rFonts w:ascii="Times New Roman" w:hAnsi="Times New Roman" w:cs="Times New Roman"/>
          <w:sz w:val="24"/>
          <w:szCs w:val="24"/>
        </w:rPr>
        <w:t xml:space="preserve">GAP </w:t>
      </w:r>
      <w:proofErr w:type="spellStart"/>
      <w:r w:rsidR="00176499" w:rsidRPr="000D3717">
        <w:rPr>
          <w:rFonts w:ascii="Times New Roman" w:hAnsi="Times New Roman" w:cs="Times New Roman"/>
          <w:sz w:val="24"/>
          <w:szCs w:val="24"/>
        </w:rPr>
        <w:t>Asses</w:t>
      </w:r>
      <w:r w:rsidR="00CC77E9" w:rsidRPr="000D3717">
        <w:rPr>
          <w:rFonts w:ascii="Times New Roman" w:hAnsi="Times New Roman" w:cs="Times New Roman"/>
          <w:sz w:val="24"/>
          <w:szCs w:val="24"/>
        </w:rPr>
        <w:t>s</w:t>
      </w:r>
      <w:r w:rsidR="00176499" w:rsidRPr="000D3717">
        <w:rPr>
          <w:rFonts w:ascii="Times New Roman" w:hAnsi="Times New Roman" w:cs="Times New Roman"/>
          <w:sz w:val="24"/>
          <w:szCs w:val="24"/>
        </w:rPr>
        <w:t>me</w:t>
      </w:r>
      <w:r w:rsidR="00CC77E9" w:rsidRPr="000D3717">
        <w:rPr>
          <w:rFonts w:ascii="Times New Roman" w:hAnsi="Times New Roman" w:cs="Times New Roman"/>
          <w:sz w:val="24"/>
          <w:szCs w:val="24"/>
        </w:rPr>
        <w:t>n</w:t>
      </w:r>
      <w:r w:rsidR="00176499" w:rsidRPr="000D3717">
        <w:rPr>
          <w:rFonts w:ascii="Times New Roman" w:hAnsi="Times New Roman" w:cs="Times New Roman"/>
          <w:sz w:val="24"/>
          <w:szCs w:val="24"/>
        </w:rPr>
        <w:t>t</w:t>
      </w:r>
      <w:proofErr w:type="spellEnd"/>
      <w:r w:rsidR="00176499" w:rsidRPr="000D3717">
        <w:rPr>
          <w:rFonts w:ascii="Times New Roman" w:hAnsi="Times New Roman" w:cs="Times New Roman"/>
          <w:sz w:val="24"/>
          <w:szCs w:val="24"/>
        </w:rPr>
        <w:t>”</w:t>
      </w:r>
      <w:r w:rsidR="001D7987" w:rsidRPr="000D3717">
        <w:rPr>
          <w:rFonts w:ascii="Times New Roman" w:hAnsi="Times New Roman" w:cs="Times New Roman"/>
          <w:sz w:val="24"/>
          <w:szCs w:val="24"/>
        </w:rPr>
        <w:t xml:space="preserve"> kapitullit të</w:t>
      </w:r>
      <w:r w:rsidR="00176499" w:rsidRPr="000D3717">
        <w:rPr>
          <w:rFonts w:ascii="Times New Roman" w:hAnsi="Times New Roman" w:cs="Times New Roman"/>
          <w:sz w:val="24"/>
          <w:szCs w:val="24"/>
        </w:rPr>
        <w:t xml:space="preserve"> 8</w:t>
      </w:r>
      <w:r w:rsidR="001D7987" w:rsidRPr="000D3717">
        <w:rPr>
          <w:rFonts w:ascii="Times New Roman" w:hAnsi="Times New Roman" w:cs="Times New Roman"/>
          <w:sz w:val="24"/>
          <w:szCs w:val="24"/>
        </w:rPr>
        <w:t xml:space="preserve">-të të </w:t>
      </w:r>
      <w:proofErr w:type="spellStart"/>
      <w:r w:rsidR="001D7987" w:rsidRPr="000D3717">
        <w:rPr>
          <w:rFonts w:ascii="Times New Roman" w:hAnsi="Times New Roman" w:cs="Times New Roman"/>
          <w:sz w:val="24"/>
          <w:szCs w:val="24"/>
        </w:rPr>
        <w:t>Acquis</w:t>
      </w:r>
      <w:proofErr w:type="spellEnd"/>
      <w:r w:rsidR="001D7987" w:rsidRPr="000D3717">
        <w:rPr>
          <w:rFonts w:ascii="Times New Roman" w:hAnsi="Times New Roman" w:cs="Times New Roman"/>
          <w:sz w:val="24"/>
          <w:szCs w:val="24"/>
        </w:rPr>
        <w:t>-së</w:t>
      </w:r>
      <w:r w:rsidR="00176499" w:rsidRPr="000D3717">
        <w:rPr>
          <w:rFonts w:ascii="Times New Roman" w:hAnsi="Times New Roman" w:cs="Times New Roman"/>
          <w:sz w:val="24"/>
          <w:szCs w:val="24"/>
        </w:rPr>
        <w:t xml:space="preserve">, </w:t>
      </w:r>
    </w:p>
    <w:p w14:paraId="5D14C877" w14:textId="77777777" w:rsidR="00B15C8D" w:rsidRPr="000D3717" w:rsidRDefault="00B15C8D" w:rsidP="000D3717">
      <w:pPr>
        <w:pStyle w:val="ListParagraph"/>
        <w:numPr>
          <w:ilvl w:val="0"/>
          <w:numId w:val="21"/>
        </w:num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Raporti për Vendin 2018</w:t>
      </w:r>
      <w:r w:rsidR="00BF051B" w:rsidRPr="000D3717">
        <w:rPr>
          <w:rFonts w:ascii="Times New Roman" w:hAnsi="Times New Roman" w:cs="Times New Roman"/>
          <w:sz w:val="24"/>
          <w:szCs w:val="24"/>
        </w:rPr>
        <w:t xml:space="preserve"> (</w:t>
      </w:r>
      <w:hyperlink r:id="rId12" w:history="1">
        <w:r w:rsidR="00BF051B" w:rsidRPr="000D3717">
          <w:rPr>
            <w:rStyle w:val="Hyperlink"/>
            <w:rFonts w:ascii="Times New Roman" w:hAnsi="Times New Roman" w:cs="Times New Roman"/>
            <w:sz w:val="24"/>
            <w:szCs w:val="24"/>
          </w:rPr>
          <w:t>http://www.mei-ks.net/sq/raporti-i-progresit-585</w:t>
        </w:r>
      </w:hyperlink>
      <w:r w:rsidR="00BF051B" w:rsidRPr="000D3717">
        <w:rPr>
          <w:rFonts w:ascii="Times New Roman" w:hAnsi="Times New Roman" w:cs="Times New Roman"/>
          <w:sz w:val="24"/>
          <w:szCs w:val="24"/>
        </w:rPr>
        <w:t xml:space="preserve">) </w:t>
      </w:r>
    </w:p>
    <w:p w14:paraId="015B6F5A" w14:textId="77777777" w:rsidR="00176499" w:rsidRPr="000D3717" w:rsidRDefault="00B15C8D" w:rsidP="000D3717">
      <w:pPr>
        <w:pStyle w:val="ListParagraph"/>
        <w:numPr>
          <w:ilvl w:val="0"/>
          <w:numId w:val="21"/>
        </w:num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A</w:t>
      </w:r>
      <w:r w:rsidR="00176499" w:rsidRPr="000D3717">
        <w:rPr>
          <w:rFonts w:ascii="Times New Roman" w:hAnsi="Times New Roman" w:cs="Times New Roman"/>
          <w:sz w:val="24"/>
          <w:szCs w:val="24"/>
        </w:rPr>
        <w:t xml:space="preserve">naliza e Grupit Punues </w:t>
      </w:r>
      <w:r w:rsidR="001D7987" w:rsidRPr="000D3717">
        <w:rPr>
          <w:rFonts w:ascii="Times New Roman" w:hAnsi="Times New Roman" w:cs="Times New Roman"/>
          <w:sz w:val="24"/>
          <w:szCs w:val="24"/>
        </w:rPr>
        <w:t>për h</w:t>
      </w:r>
      <w:r w:rsidR="00176499" w:rsidRPr="000D3717">
        <w:rPr>
          <w:rFonts w:ascii="Times New Roman" w:hAnsi="Times New Roman" w:cs="Times New Roman"/>
          <w:sz w:val="24"/>
          <w:szCs w:val="24"/>
        </w:rPr>
        <w:t>artimin e Koncept Dokumentit n</w:t>
      </w:r>
      <w:r w:rsidRPr="000D3717">
        <w:rPr>
          <w:rFonts w:ascii="Times New Roman" w:hAnsi="Times New Roman" w:cs="Times New Roman"/>
          <w:sz w:val="24"/>
          <w:szCs w:val="24"/>
        </w:rPr>
        <w:t>ë</w:t>
      </w:r>
      <w:r w:rsidR="00176499" w:rsidRPr="000D3717">
        <w:rPr>
          <w:rFonts w:ascii="Times New Roman" w:hAnsi="Times New Roman" w:cs="Times New Roman"/>
          <w:sz w:val="24"/>
          <w:szCs w:val="24"/>
        </w:rPr>
        <w:t xml:space="preserve"> fushën e </w:t>
      </w:r>
      <w:r w:rsidR="001D7987" w:rsidRPr="000D3717">
        <w:rPr>
          <w:rFonts w:ascii="Times New Roman" w:hAnsi="Times New Roman" w:cs="Times New Roman"/>
          <w:sz w:val="24"/>
          <w:szCs w:val="24"/>
        </w:rPr>
        <w:t>Konkurrencës</w:t>
      </w:r>
      <w:r w:rsidR="00176499" w:rsidRPr="000D3717">
        <w:rPr>
          <w:rFonts w:ascii="Times New Roman" w:hAnsi="Times New Roman" w:cs="Times New Roman"/>
          <w:sz w:val="24"/>
          <w:szCs w:val="24"/>
        </w:rPr>
        <w:t xml:space="preserve">. </w:t>
      </w:r>
      <w:r w:rsidR="00BF051B" w:rsidRPr="000D3717">
        <w:rPr>
          <w:rFonts w:ascii="Times New Roman" w:hAnsi="Times New Roman" w:cs="Times New Roman"/>
          <w:sz w:val="24"/>
          <w:szCs w:val="24"/>
        </w:rPr>
        <w:t xml:space="preserve"> (</w:t>
      </w:r>
      <w:hyperlink r:id="rId13" w:history="1">
        <w:r w:rsidR="00BF051B" w:rsidRPr="000D3717">
          <w:rPr>
            <w:rStyle w:val="Hyperlink"/>
            <w:rFonts w:ascii="Times New Roman" w:hAnsi="Times New Roman" w:cs="Times New Roman"/>
            <w:sz w:val="24"/>
            <w:szCs w:val="24"/>
          </w:rPr>
          <w:t>http://konsultimet.rks-gov.net/</w:t>
        </w:r>
      </w:hyperlink>
      <w:r w:rsidR="00BF051B" w:rsidRPr="000D3717">
        <w:rPr>
          <w:rFonts w:ascii="Times New Roman" w:hAnsi="Times New Roman" w:cs="Times New Roman"/>
          <w:sz w:val="24"/>
          <w:szCs w:val="24"/>
        </w:rPr>
        <w:t>)</w:t>
      </w:r>
    </w:p>
    <w:p w14:paraId="2BCB7550" w14:textId="77777777" w:rsidR="00176499" w:rsidRPr="000D3717" w:rsidRDefault="00777194"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Përkufizimi i problemit fillon me një analizë të</w:t>
      </w:r>
      <w:r w:rsidR="00C214C5" w:rsidRPr="000D3717">
        <w:rPr>
          <w:rFonts w:ascii="Times New Roman" w:hAnsi="Times New Roman" w:cs="Times New Roman"/>
          <w:sz w:val="24"/>
          <w:szCs w:val="24"/>
        </w:rPr>
        <w:t xml:space="preserve"> përgjithshme bazuar n</w:t>
      </w:r>
      <w:r w:rsidR="00B15C8D" w:rsidRPr="000D3717">
        <w:rPr>
          <w:rFonts w:ascii="Times New Roman" w:hAnsi="Times New Roman" w:cs="Times New Roman"/>
          <w:sz w:val="24"/>
          <w:szCs w:val="24"/>
        </w:rPr>
        <w:t>ë</w:t>
      </w:r>
      <w:r w:rsidR="00C214C5" w:rsidRPr="000D3717">
        <w:rPr>
          <w:rFonts w:ascii="Times New Roman" w:hAnsi="Times New Roman" w:cs="Times New Roman"/>
          <w:sz w:val="24"/>
          <w:szCs w:val="24"/>
        </w:rPr>
        <w:t xml:space="preserve"> Programin e </w:t>
      </w:r>
      <w:r w:rsidRPr="000D3717">
        <w:rPr>
          <w:rFonts w:ascii="Times New Roman" w:hAnsi="Times New Roman" w:cs="Times New Roman"/>
          <w:sz w:val="24"/>
          <w:szCs w:val="24"/>
        </w:rPr>
        <w:t>Kombëtar</w:t>
      </w:r>
      <w:r w:rsidR="00C214C5" w:rsidRPr="000D3717">
        <w:rPr>
          <w:rFonts w:ascii="Times New Roman" w:hAnsi="Times New Roman" w:cs="Times New Roman"/>
          <w:sz w:val="24"/>
          <w:szCs w:val="24"/>
        </w:rPr>
        <w:t xml:space="preserve"> </w:t>
      </w:r>
      <w:r w:rsidRPr="000D3717">
        <w:rPr>
          <w:rFonts w:ascii="Times New Roman" w:hAnsi="Times New Roman" w:cs="Times New Roman"/>
          <w:sz w:val="24"/>
          <w:szCs w:val="24"/>
        </w:rPr>
        <w:t>për</w:t>
      </w:r>
      <w:r w:rsidR="00C214C5" w:rsidRPr="000D3717">
        <w:rPr>
          <w:rFonts w:ascii="Times New Roman" w:hAnsi="Times New Roman" w:cs="Times New Roman"/>
          <w:sz w:val="24"/>
          <w:szCs w:val="24"/>
        </w:rPr>
        <w:t xml:space="preserve"> Zbatimin e </w:t>
      </w:r>
      <w:r w:rsidRPr="000D3717">
        <w:rPr>
          <w:rFonts w:ascii="Times New Roman" w:hAnsi="Times New Roman" w:cs="Times New Roman"/>
          <w:sz w:val="24"/>
          <w:szCs w:val="24"/>
        </w:rPr>
        <w:t>Marrëveshjes</w:t>
      </w:r>
      <w:r w:rsidR="00C214C5" w:rsidRPr="000D3717">
        <w:rPr>
          <w:rFonts w:ascii="Times New Roman" w:hAnsi="Times New Roman" w:cs="Times New Roman"/>
          <w:sz w:val="24"/>
          <w:szCs w:val="24"/>
        </w:rPr>
        <w:t xml:space="preserve"> </w:t>
      </w:r>
      <w:r w:rsidRPr="000D3717">
        <w:rPr>
          <w:rFonts w:ascii="Times New Roman" w:hAnsi="Times New Roman" w:cs="Times New Roman"/>
          <w:sz w:val="24"/>
          <w:szCs w:val="24"/>
        </w:rPr>
        <w:t xml:space="preserve">së Stabilizim </w:t>
      </w:r>
      <w:proofErr w:type="spellStart"/>
      <w:r w:rsidRPr="000D3717">
        <w:rPr>
          <w:rFonts w:ascii="Times New Roman" w:hAnsi="Times New Roman" w:cs="Times New Roman"/>
          <w:sz w:val="24"/>
          <w:szCs w:val="24"/>
        </w:rPr>
        <w:t>A</w:t>
      </w:r>
      <w:r w:rsidR="00C214C5" w:rsidRPr="000D3717">
        <w:rPr>
          <w:rFonts w:ascii="Times New Roman" w:hAnsi="Times New Roman" w:cs="Times New Roman"/>
          <w:sz w:val="24"/>
          <w:szCs w:val="24"/>
        </w:rPr>
        <w:t>socimit</w:t>
      </w:r>
      <w:proofErr w:type="spellEnd"/>
      <w:r w:rsidR="00C214C5" w:rsidRPr="000D3717">
        <w:rPr>
          <w:rFonts w:ascii="Times New Roman" w:hAnsi="Times New Roman" w:cs="Times New Roman"/>
          <w:sz w:val="24"/>
          <w:szCs w:val="24"/>
        </w:rPr>
        <w:t xml:space="preserve"> (PKZMSA) 2018-2022. </w:t>
      </w:r>
    </w:p>
    <w:p w14:paraId="37603895" w14:textId="77777777" w:rsidR="00BB7593" w:rsidRPr="005B54DA" w:rsidRDefault="008E599F" w:rsidP="005B54DA">
      <w:pPr>
        <w:spacing w:line="360" w:lineRule="auto"/>
        <w:jc w:val="both"/>
        <w:rPr>
          <w:rFonts w:ascii="Times New Roman" w:hAnsi="Times New Roman" w:cs="Times New Roman"/>
          <w:sz w:val="24"/>
          <w:szCs w:val="24"/>
        </w:rPr>
      </w:pPr>
      <w:r w:rsidRPr="005B54DA">
        <w:rPr>
          <w:rFonts w:ascii="Times New Roman" w:hAnsi="Times New Roman" w:cs="Times New Roman"/>
          <w:sz w:val="24"/>
          <w:szCs w:val="24"/>
        </w:rPr>
        <w:t>Sa i përket legjislacionit të BE-së, duke u bazuar në k</w:t>
      </w:r>
      <w:r w:rsidR="00BB7593" w:rsidRPr="005B54DA">
        <w:rPr>
          <w:rFonts w:ascii="Times New Roman" w:hAnsi="Times New Roman" w:cs="Times New Roman"/>
          <w:sz w:val="24"/>
          <w:szCs w:val="24"/>
        </w:rPr>
        <w:t>apitulli</w:t>
      </w:r>
      <w:r w:rsidRPr="005B54DA">
        <w:rPr>
          <w:rFonts w:ascii="Times New Roman" w:hAnsi="Times New Roman" w:cs="Times New Roman"/>
          <w:sz w:val="24"/>
          <w:szCs w:val="24"/>
        </w:rPr>
        <w:t>n</w:t>
      </w:r>
      <w:r w:rsidR="00BB7593" w:rsidRPr="005B54DA">
        <w:rPr>
          <w:rFonts w:ascii="Times New Roman" w:hAnsi="Times New Roman" w:cs="Times New Roman"/>
          <w:sz w:val="24"/>
          <w:szCs w:val="24"/>
        </w:rPr>
        <w:t xml:space="preserve"> </w:t>
      </w:r>
      <w:r w:rsidRPr="005B54DA">
        <w:rPr>
          <w:rFonts w:ascii="Times New Roman" w:hAnsi="Times New Roman" w:cs="Times New Roman"/>
          <w:sz w:val="24"/>
          <w:szCs w:val="24"/>
        </w:rPr>
        <w:t xml:space="preserve">e </w:t>
      </w:r>
      <w:r w:rsidR="00BB7593" w:rsidRPr="005B54DA">
        <w:rPr>
          <w:rFonts w:ascii="Times New Roman" w:hAnsi="Times New Roman" w:cs="Times New Roman"/>
          <w:sz w:val="24"/>
          <w:szCs w:val="24"/>
        </w:rPr>
        <w:t>8</w:t>
      </w:r>
      <w:r w:rsidRPr="005B54DA">
        <w:rPr>
          <w:rFonts w:ascii="Times New Roman" w:hAnsi="Times New Roman" w:cs="Times New Roman"/>
          <w:sz w:val="24"/>
          <w:szCs w:val="24"/>
        </w:rPr>
        <w:t>-të</w:t>
      </w:r>
      <w:r w:rsidR="00BB7593" w:rsidRPr="005B54DA">
        <w:rPr>
          <w:rFonts w:ascii="Times New Roman" w:hAnsi="Times New Roman" w:cs="Times New Roman"/>
          <w:sz w:val="24"/>
          <w:szCs w:val="24"/>
        </w:rPr>
        <w:t xml:space="preserve"> </w:t>
      </w:r>
      <w:r w:rsidRPr="005B54DA">
        <w:rPr>
          <w:rFonts w:ascii="Times New Roman" w:hAnsi="Times New Roman" w:cs="Times New Roman"/>
          <w:sz w:val="24"/>
          <w:szCs w:val="24"/>
        </w:rPr>
        <w:t>të</w:t>
      </w:r>
      <w:r w:rsidR="00BB7593" w:rsidRPr="005B54DA">
        <w:rPr>
          <w:rFonts w:ascii="Times New Roman" w:hAnsi="Times New Roman" w:cs="Times New Roman"/>
          <w:sz w:val="24"/>
          <w:szCs w:val="24"/>
        </w:rPr>
        <w:t xml:space="preserve"> </w:t>
      </w:r>
      <w:proofErr w:type="spellStart"/>
      <w:r w:rsidRPr="005B54DA">
        <w:rPr>
          <w:rFonts w:ascii="Times New Roman" w:hAnsi="Times New Roman" w:cs="Times New Roman"/>
          <w:sz w:val="24"/>
          <w:szCs w:val="24"/>
        </w:rPr>
        <w:t>A</w:t>
      </w:r>
      <w:r w:rsidR="00BB7593" w:rsidRPr="005B54DA">
        <w:rPr>
          <w:rFonts w:ascii="Times New Roman" w:hAnsi="Times New Roman" w:cs="Times New Roman"/>
          <w:sz w:val="24"/>
          <w:szCs w:val="24"/>
        </w:rPr>
        <w:t>cquis</w:t>
      </w:r>
      <w:proofErr w:type="spellEnd"/>
      <w:r w:rsidR="00BB7593" w:rsidRPr="005B54DA">
        <w:rPr>
          <w:rFonts w:ascii="Times New Roman" w:hAnsi="Times New Roman" w:cs="Times New Roman"/>
          <w:sz w:val="24"/>
          <w:szCs w:val="24"/>
        </w:rPr>
        <w:t>-së</w:t>
      </w:r>
      <w:r w:rsidRPr="005B54DA">
        <w:rPr>
          <w:rFonts w:ascii="Times New Roman" w:hAnsi="Times New Roman" w:cs="Times New Roman"/>
          <w:sz w:val="24"/>
          <w:szCs w:val="24"/>
        </w:rPr>
        <w:t xml:space="preserve"> p</w:t>
      </w:r>
      <w:r w:rsidR="00BB7593" w:rsidRPr="005B54DA">
        <w:rPr>
          <w:rFonts w:ascii="Times New Roman" w:hAnsi="Times New Roman" w:cs="Times New Roman"/>
          <w:sz w:val="24"/>
          <w:szCs w:val="24"/>
        </w:rPr>
        <w:t>olitika e konkurrencës</w:t>
      </w:r>
      <w:bookmarkEnd w:id="3"/>
      <w:r w:rsidR="00BB7593" w:rsidRPr="005B54DA">
        <w:rPr>
          <w:rFonts w:ascii="Times New Roman" w:hAnsi="Times New Roman" w:cs="Times New Roman"/>
          <w:sz w:val="24"/>
          <w:szCs w:val="24"/>
        </w:rPr>
        <w:t xml:space="preserve">  është një nga parimet bazë të tregut të brendshëm të BE</w:t>
      </w:r>
      <w:r w:rsidRPr="005B54DA">
        <w:rPr>
          <w:rFonts w:ascii="Times New Roman" w:hAnsi="Times New Roman" w:cs="Times New Roman"/>
          <w:sz w:val="24"/>
          <w:szCs w:val="24"/>
        </w:rPr>
        <w:t>-së</w:t>
      </w:r>
      <w:r w:rsidR="00BB7593" w:rsidRPr="005B54DA">
        <w:rPr>
          <w:rFonts w:ascii="Times New Roman" w:hAnsi="Times New Roman" w:cs="Times New Roman"/>
          <w:sz w:val="24"/>
          <w:szCs w:val="24"/>
        </w:rPr>
        <w:t xml:space="preserve">. </w:t>
      </w:r>
      <w:proofErr w:type="spellStart"/>
      <w:r w:rsidR="00BB7593" w:rsidRPr="005B54DA">
        <w:rPr>
          <w:rFonts w:ascii="Times New Roman" w:hAnsi="Times New Roman" w:cs="Times New Roman"/>
          <w:sz w:val="24"/>
          <w:szCs w:val="24"/>
        </w:rPr>
        <w:t>Acquis</w:t>
      </w:r>
      <w:proofErr w:type="spellEnd"/>
      <w:r w:rsidR="00BB7593" w:rsidRPr="005B54DA">
        <w:rPr>
          <w:rFonts w:ascii="Times New Roman" w:hAnsi="Times New Roman" w:cs="Times New Roman"/>
          <w:sz w:val="24"/>
          <w:szCs w:val="24"/>
        </w:rPr>
        <w:t xml:space="preserve"> në fushën e konkurrencës përfshin </w:t>
      </w:r>
      <w:proofErr w:type="spellStart"/>
      <w:r w:rsidR="00BB7593" w:rsidRPr="005B54DA">
        <w:rPr>
          <w:rFonts w:ascii="Times New Roman" w:hAnsi="Times New Roman" w:cs="Times New Roman"/>
          <w:sz w:val="24"/>
          <w:szCs w:val="24"/>
        </w:rPr>
        <w:t>anti</w:t>
      </w:r>
      <w:proofErr w:type="spellEnd"/>
      <w:r w:rsidR="00BB7593" w:rsidRPr="005B54DA">
        <w:rPr>
          <w:rFonts w:ascii="Times New Roman" w:hAnsi="Times New Roman" w:cs="Times New Roman"/>
          <w:sz w:val="24"/>
          <w:szCs w:val="24"/>
        </w:rPr>
        <w:t xml:space="preserve">-trustin dhe politikat e kontrollit të ndihmës shtetërore. Kapitulli përmban legjislacion, rregulla dhe procedura për sjelljen jo-konkurruese të ndërmarrjeve siç janë marrëveshjet e ndaluara ndërmjet ndërmarrjeve dhe abuzimi me pozitën dominuese në treg. Këtu </w:t>
      </w:r>
      <w:r w:rsidRPr="005B54DA">
        <w:rPr>
          <w:rFonts w:ascii="Times New Roman" w:hAnsi="Times New Roman" w:cs="Times New Roman"/>
          <w:sz w:val="24"/>
          <w:szCs w:val="24"/>
        </w:rPr>
        <w:t>g</w:t>
      </w:r>
      <w:r w:rsidR="00BB7593" w:rsidRPr="005B54DA">
        <w:rPr>
          <w:rFonts w:ascii="Times New Roman" w:hAnsi="Times New Roman" w:cs="Times New Roman"/>
          <w:sz w:val="24"/>
          <w:szCs w:val="24"/>
        </w:rPr>
        <w:t xml:space="preserve">jithashtu </w:t>
      </w:r>
      <w:r w:rsidRPr="005B54DA">
        <w:rPr>
          <w:rFonts w:ascii="Times New Roman" w:hAnsi="Times New Roman" w:cs="Times New Roman"/>
          <w:sz w:val="24"/>
          <w:szCs w:val="24"/>
        </w:rPr>
        <w:t>përfshihen edhe</w:t>
      </w:r>
      <w:r w:rsidR="00BB7593" w:rsidRPr="005B54DA">
        <w:rPr>
          <w:rFonts w:ascii="Times New Roman" w:hAnsi="Times New Roman" w:cs="Times New Roman"/>
          <w:sz w:val="24"/>
          <w:szCs w:val="24"/>
        </w:rPr>
        <w:t xml:space="preserve"> analiza</w:t>
      </w:r>
      <w:r w:rsidRPr="005B54DA">
        <w:rPr>
          <w:rFonts w:ascii="Times New Roman" w:hAnsi="Times New Roman" w:cs="Times New Roman"/>
          <w:sz w:val="24"/>
          <w:szCs w:val="24"/>
        </w:rPr>
        <w:t>t</w:t>
      </w:r>
      <w:r w:rsidR="00BB7593" w:rsidRPr="005B54DA">
        <w:rPr>
          <w:rFonts w:ascii="Times New Roman" w:hAnsi="Times New Roman" w:cs="Times New Roman"/>
          <w:sz w:val="24"/>
          <w:szCs w:val="24"/>
        </w:rPr>
        <w:t xml:space="preserve"> e bashkimit të ndërmarrjeve dhe funksioni parandalues i </w:t>
      </w:r>
      <w:r w:rsidRPr="005B54DA">
        <w:rPr>
          <w:rFonts w:ascii="Times New Roman" w:hAnsi="Times New Roman" w:cs="Times New Roman"/>
          <w:sz w:val="24"/>
          <w:szCs w:val="24"/>
        </w:rPr>
        <w:t>Q</w:t>
      </w:r>
      <w:r w:rsidR="00BB7593" w:rsidRPr="005B54DA">
        <w:rPr>
          <w:rFonts w:ascii="Times New Roman" w:hAnsi="Times New Roman" w:cs="Times New Roman"/>
          <w:sz w:val="24"/>
          <w:szCs w:val="24"/>
        </w:rPr>
        <w:t>everisë në dhënien e ndihmës shtetërore që çrregullon konkurrencën në treg. Legjislacioni i BE</w:t>
      </w:r>
      <w:r w:rsidR="00FE7A1A" w:rsidRPr="005B54DA">
        <w:rPr>
          <w:rFonts w:ascii="Times New Roman" w:hAnsi="Times New Roman" w:cs="Times New Roman"/>
          <w:sz w:val="24"/>
          <w:szCs w:val="24"/>
        </w:rPr>
        <w:t>-së</w:t>
      </w:r>
      <w:r w:rsidR="00BB7593" w:rsidRPr="005B54DA">
        <w:rPr>
          <w:rFonts w:ascii="Times New Roman" w:hAnsi="Times New Roman" w:cs="Times New Roman"/>
          <w:sz w:val="24"/>
          <w:szCs w:val="24"/>
        </w:rPr>
        <w:t xml:space="preserve"> në fushën e konkurrencës buron nga Traktati për Funksionimin e BE</w:t>
      </w:r>
      <w:r w:rsidR="00FE7A1A" w:rsidRPr="005B54DA">
        <w:rPr>
          <w:rFonts w:ascii="Times New Roman" w:hAnsi="Times New Roman" w:cs="Times New Roman"/>
          <w:sz w:val="24"/>
          <w:szCs w:val="24"/>
        </w:rPr>
        <w:t>-së</w:t>
      </w:r>
      <w:r w:rsidR="00BB7593" w:rsidRPr="005B54DA">
        <w:rPr>
          <w:rFonts w:ascii="Times New Roman" w:hAnsi="Times New Roman" w:cs="Times New Roman"/>
          <w:sz w:val="24"/>
          <w:szCs w:val="24"/>
        </w:rPr>
        <w:t xml:space="preserve"> (TFBE). Më konkretisht, </w:t>
      </w:r>
      <w:r w:rsidR="00FE7A1A" w:rsidRPr="005B54DA">
        <w:rPr>
          <w:rFonts w:ascii="Times New Roman" w:hAnsi="Times New Roman" w:cs="Times New Roman"/>
          <w:sz w:val="24"/>
          <w:szCs w:val="24"/>
        </w:rPr>
        <w:t>n</w:t>
      </w:r>
      <w:r w:rsidR="00BB7593" w:rsidRPr="005B54DA">
        <w:rPr>
          <w:rFonts w:ascii="Times New Roman" w:hAnsi="Times New Roman" w:cs="Times New Roman"/>
          <w:sz w:val="24"/>
          <w:szCs w:val="24"/>
        </w:rPr>
        <w:t xml:space="preserve">eni 37 i TFBE rregullon monopolet shtetërore të karakterit komercial, </w:t>
      </w:r>
      <w:r w:rsidR="00FE7A1A" w:rsidRPr="005B54DA">
        <w:rPr>
          <w:rFonts w:ascii="Times New Roman" w:hAnsi="Times New Roman" w:cs="Times New Roman"/>
          <w:sz w:val="24"/>
          <w:szCs w:val="24"/>
        </w:rPr>
        <w:t>n</w:t>
      </w:r>
      <w:r w:rsidR="00BB7593" w:rsidRPr="005B54DA">
        <w:rPr>
          <w:rFonts w:ascii="Times New Roman" w:hAnsi="Times New Roman" w:cs="Times New Roman"/>
          <w:sz w:val="24"/>
          <w:szCs w:val="24"/>
        </w:rPr>
        <w:t xml:space="preserve">enet 101-105 kanë të bëjnë me rregullat e zbatueshme për ndërmarrjet, </w:t>
      </w:r>
      <w:r w:rsidR="00FE7A1A" w:rsidRPr="005B54DA">
        <w:rPr>
          <w:rFonts w:ascii="Times New Roman" w:hAnsi="Times New Roman" w:cs="Times New Roman"/>
          <w:sz w:val="24"/>
          <w:szCs w:val="24"/>
        </w:rPr>
        <w:t>n</w:t>
      </w:r>
      <w:r w:rsidR="00BB7593" w:rsidRPr="005B54DA">
        <w:rPr>
          <w:rFonts w:ascii="Times New Roman" w:hAnsi="Times New Roman" w:cs="Times New Roman"/>
          <w:sz w:val="24"/>
          <w:szCs w:val="24"/>
        </w:rPr>
        <w:t xml:space="preserve">eni 106 me ndërmarrjet publike dhe ndërmarrjet me të drejta të veçanta ose ekskluzive, dhe </w:t>
      </w:r>
      <w:r w:rsidR="00FE7A1A" w:rsidRPr="005B54DA">
        <w:rPr>
          <w:rFonts w:ascii="Times New Roman" w:hAnsi="Times New Roman" w:cs="Times New Roman"/>
          <w:sz w:val="24"/>
          <w:szCs w:val="24"/>
        </w:rPr>
        <w:t>n</w:t>
      </w:r>
      <w:r w:rsidR="00BB7593" w:rsidRPr="005B54DA">
        <w:rPr>
          <w:rFonts w:ascii="Times New Roman" w:hAnsi="Times New Roman" w:cs="Times New Roman"/>
          <w:sz w:val="24"/>
          <w:szCs w:val="24"/>
        </w:rPr>
        <w:t xml:space="preserve">enet 107-109 të traktatit kanë të bëjnë me rregullat e zbatueshme për ndihmën shtetërore.  </w:t>
      </w:r>
    </w:p>
    <w:p w14:paraId="01678C27" w14:textId="77777777" w:rsidR="005B6151" w:rsidRPr="005B54DA" w:rsidRDefault="00BB7593">
      <w:pPr>
        <w:spacing w:line="360" w:lineRule="auto"/>
        <w:jc w:val="both"/>
        <w:rPr>
          <w:rFonts w:ascii="Times New Roman" w:hAnsi="Times New Roman" w:cs="Times New Roman"/>
          <w:sz w:val="24"/>
          <w:szCs w:val="24"/>
        </w:rPr>
      </w:pPr>
      <w:r w:rsidRPr="005B54DA">
        <w:rPr>
          <w:rFonts w:ascii="Times New Roman" w:hAnsi="Times New Roman" w:cs="Times New Roman"/>
          <w:sz w:val="24"/>
          <w:szCs w:val="24"/>
        </w:rPr>
        <w:lastRenderedPageBreak/>
        <w:t xml:space="preserve">Sa i përket politikave të konkurrencës, dispozitat e MSA-së kërkojnë që Republika e Kosovës të zbatojë rregullat e konkurrencës dhe gradualisht të </w:t>
      </w:r>
      <w:r w:rsidR="00FE7A1A" w:rsidRPr="005B54DA">
        <w:rPr>
          <w:rFonts w:ascii="Times New Roman" w:hAnsi="Times New Roman" w:cs="Times New Roman"/>
          <w:sz w:val="24"/>
          <w:szCs w:val="24"/>
        </w:rPr>
        <w:t>përafroj</w:t>
      </w:r>
      <w:r w:rsidRPr="005B54DA">
        <w:rPr>
          <w:rFonts w:ascii="Times New Roman" w:hAnsi="Times New Roman" w:cs="Times New Roman"/>
          <w:sz w:val="24"/>
          <w:szCs w:val="24"/>
        </w:rPr>
        <w:t xml:space="preserve"> legjislacionin e saj me legjislacionin e BE-së duke filluar nga hyrja në fuqi e Marrëveshjes (</w:t>
      </w:r>
      <w:r w:rsidR="00FE7A1A" w:rsidRPr="005B54DA">
        <w:rPr>
          <w:rFonts w:ascii="Times New Roman" w:hAnsi="Times New Roman" w:cs="Times New Roman"/>
          <w:sz w:val="24"/>
          <w:szCs w:val="24"/>
        </w:rPr>
        <w:t>n</w:t>
      </w:r>
      <w:r w:rsidRPr="005B54DA">
        <w:rPr>
          <w:rFonts w:ascii="Times New Roman" w:hAnsi="Times New Roman" w:cs="Times New Roman"/>
          <w:sz w:val="24"/>
          <w:szCs w:val="24"/>
        </w:rPr>
        <w:t xml:space="preserve">enet 74, 75 të MSA-së).  </w:t>
      </w:r>
    </w:p>
    <w:p w14:paraId="7C78720E" w14:textId="77777777" w:rsidR="00BB7593" w:rsidRPr="000D3717" w:rsidRDefault="00CC6CD3"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Më konkretisht, </w:t>
      </w:r>
      <w:r w:rsidR="00FE7A1A">
        <w:rPr>
          <w:rFonts w:ascii="Times New Roman" w:hAnsi="Times New Roman" w:cs="Times New Roman"/>
          <w:sz w:val="24"/>
          <w:szCs w:val="24"/>
        </w:rPr>
        <w:t>n</w:t>
      </w:r>
      <w:r w:rsidR="00BB7593" w:rsidRPr="000D3717">
        <w:rPr>
          <w:rFonts w:ascii="Times New Roman" w:hAnsi="Times New Roman" w:cs="Times New Roman"/>
          <w:sz w:val="24"/>
          <w:szCs w:val="24"/>
        </w:rPr>
        <w:t>eni 75</w:t>
      </w:r>
      <w:r w:rsidRPr="000D3717">
        <w:rPr>
          <w:rFonts w:ascii="Times New Roman" w:hAnsi="Times New Roman" w:cs="Times New Roman"/>
          <w:sz w:val="24"/>
          <w:szCs w:val="24"/>
        </w:rPr>
        <w:t xml:space="preserve"> “</w:t>
      </w:r>
      <w:r w:rsidR="00BB7593" w:rsidRPr="000D3717">
        <w:rPr>
          <w:rFonts w:ascii="Times New Roman" w:hAnsi="Times New Roman" w:cs="Times New Roman"/>
          <w:sz w:val="24"/>
          <w:szCs w:val="24"/>
        </w:rPr>
        <w:t>Konkurrenca dhe Dispozitat tjera“ definon përgjegjësitë e Autoritetit të Konkurrencës dhe ofron kornizën për funksionimin e marrëveshjes në lidhje me tregtinë mes BE</w:t>
      </w:r>
      <w:r w:rsidRPr="000D3717">
        <w:rPr>
          <w:rFonts w:ascii="Times New Roman" w:hAnsi="Times New Roman" w:cs="Times New Roman"/>
          <w:sz w:val="24"/>
          <w:szCs w:val="24"/>
        </w:rPr>
        <w:t>-së</w:t>
      </w:r>
      <w:r w:rsidR="00BB7593" w:rsidRPr="000D3717">
        <w:rPr>
          <w:rFonts w:ascii="Times New Roman" w:hAnsi="Times New Roman" w:cs="Times New Roman"/>
          <w:sz w:val="24"/>
          <w:szCs w:val="24"/>
        </w:rPr>
        <w:t xml:space="preserve"> dhe Kosovës në të gjitha marrëveshjet midis ndërmarrjeve, vendimet nga grupe </w:t>
      </w:r>
      <w:r w:rsidRPr="000D3717">
        <w:rPr>
          <w:rFonts w:ascii="Times New Roman" w:hAnsi="Times New Roman" w:cs="Times New Roman"/>
          <w:sz w:val="24"/>
          <w:szCs w:val="24"/>
        </w:rPr>
        <w:t>ndërmarrjesh</w:t>
      </w:r>
      <w:r w:rsidR="00BB7593" w:rsidRPr="000D3717">
        <w:rPr>
          <w:rFonts w:ascii="Times New Roman" w:hAnsi="Times New Roman" w:cs="Times New Roman"/>
          <w:sz w:val="24"/>
          <w:szCs w:val="24"/>
        </w:rPr>
        <w:t xml:space="preserve"> dhe praktikat e </w:t>
      </w:r>
      <w:r w:rsidRPr="000D3717">
        <w:rPr>
          <w:rFonts w:ascii="Times New Roman" w:hAnsi="Times New Roman" w:cs="Times New Roman"/>
          <w:sz w:val="24"/>
          <w:szCs w:val="24"/>
        </w:rPr>
        <w:t>bashkërenduara</w:t>
      </w:r>
      <w:r w:rsidR="00BB7593" w:rsidRPr="000D3717">
        <w:rPr>
          <w:rFonts w:ascii="Times New Roman" w:hAnsi="Times New Roman" w:cs="Times New Roman"/>
          <w:sz w:val="24"/>
          <w:szCs w:val="24"/>
        </w:rPr>
        <w:t xml:space="preserve"> midis </w:t>
      </w:r>
      <w:r w:rsidRPr="000D3717">
        <w:rPr>
          <w:rFonts w:ascii="Times New Roman" w:hAnsi="Times New Roman" w:cs="Times New Roman"/>
          <w:sz w:val="24"/>
          <w:szCs w:val="24"/>
        </w:rPr>
        <w:t>ndërmarrjeve</w:t>
      </w:r>
      <w:r w:rsidR="00BB7593" w:rsidRPr="000D3717">
        <w:rPr>
          <w:rFonts w:ascii="Times New Roman" w:hAnsi="Times New Roman" w:cs="Times New Roman"/>
          <w:sz w:val="24"/>
          <w:szCs w:val="24"/>
        </w:rPr>
        <w:t xml:space="preserve"> që parandalojnë, kufizojnë ose çrregullojnë konkurrencën. </w:t>
      </w:r>
    </w:p>
    <w:p w14:paraId="33BC84A4" w14:textId="77777777" w:rsidR="001622C0" w:rsidRPr="000D3717" w:rsidRDefault="001622C0"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Autoriteti Kosovar i Konkurrencës n</w:t>
      </w:r>
      <w:r w:rsidR="00FE7A1A">
        <w:rPr>
          <w:rFonts w:ascii="Times New Roman" w:hAnsi="Times New Roman" w:cs="Times New Roman"/>
          <w:sz w:val="24"/>
          <w:szCs w:val="24"/>
        </w:rPr>
        <w:t>ë</w:t>
      </w:r>
      <w:r w:rsidRPr="000D3717">
        <w:rPr>
          <w:rFonts w:ascii="Times New Roman" w:hAnsi="Times New Roman" w:cs="Times New Roman"/>
          <w:sz w:val="24"/>
          <w:szCs w:val="24"/>
        </w:rPr>
        <w:t xml:space="preserve"> Planin e Veprimit për Zbatimin e MSA-së (PKZMSA), në bllokun tre: “</w:t>
      </w:r>
      <w:r w:rsidRPr="000D3717">
        <w:rPr>
          <w:rFonts w:ascii="Times New Roman" w:hAnsi="Times New Roman" w:cs="Times New Roman"/>
          <w:i/>
          <w:sz w:val="24"/>
          <w:szCs w:val="24"/>
        </w:rPr>
        <w:t xml:space="preserve">Standardet  Evropiane – Përafrimi i Legjislacionit të Kosovës me </w:t>
      </w:r>
      <w:proofErr w:type="spellStart"/>
      <w:r w:rsidRPr="000D3717">
        <w:rPr>
          <w:rFonts w:ascii="Times New Roman" w:hAnsi="Times New Roman" w:cs="Times New Roman"/>
          <w:i/>
          <w:sz w:val="24"/>
          <w:szCs w:val="24"/>
        </w:rPr>
        <w:t>acquis</w:t>
      </w:r>
      <w:proofErr w:type="spellEnd"/>
      <w:r w:rsidRPr="000D3717">
        <w:rPr>
          <w:rFonts w:ascii="Times New Roman" w:hAnsi="Times New Roman" w:cs="Times New Roman"/>
          <w:i/>
          <w:sz w:val="24"/>
          <w:szCs w:val="24"/>
        </w:rPr>
        <w:t xml:space="preserve"> së BE-së në kapitullin 8 - Politikat e Konkurrencës</w:t>
      </w:r>
      <w:r w:rsidRPr="000D3717">
        <w:rPr>
          <w:rFonts w:ascii="Times New Roman" w:hAnsi="Times New Roman" w:cs="Times New Roman"/>
          <w:sz w:val="24"/>
          <w:szCs w:val="24"/>
        </w:rPr>
        <w:t xml:space="preserve">” ka listuar një numër masash </w:t>
      </w:r>
      <w:r w:rsidR="00FE7A1A" w:rsidRPr="000D3717">
        <w:rPr>
          <w:rFonts w:ascii="Times New Roman" w:hAnsi="Times New Roman" w:cs="Times New Roman"/>
          <w:sz w:val="24"/>
          <w:szCs w:val="24"/>
        </w:rPr>
        <w:t>afatshkurtër</w:t>
      </w:r>
      <w:r w:rsidRPr="000D3717">
        <w:rPr>
          <w:rFonts w:ascii="Times New Roman" w:hAnsi="Times New Roman" w:cs="Times New Roman"/>
          <w:sz w:val="24"/>
          <w:szCs w:val="24"/>
        </w:rPr>
        <w:t xml:space="preserve"> dhe afatmesme të cilat duhet të realizohen në periudhën e paraparë në marrëveshjen e MSA-së. Përveç kësaj, politikat e konkurrencës janë një ndër prioritetet e Agjendës për Reforma Evropiane (ERA), përkatësisht: “</w:t>
      </w:r>
      <w:proofErr w:type="spellStart"/>
      <w:r w:rsidRPr="000D3717">
        <w:rPr>
          <w:rFonts w:ascii="Times New Roman" w:hAnsi="Times New Roman" w:cs="Times New Roman"/>
          <w:i/>
          <w:sz w:val="24"/>
          <w:szCs w:val="24"/>
        </w:rPr>
        <w:t>Konkurrueshmëria</w:t>
      </w:r>
      <w:proofErr w:type="spellEnd"/>
      <w:r w:rsidRPr="000D3717">
        <w:rPr>
          <w:rFonts w:ascii="Times New Roman" w:hAnsi="Times New Roman" w:cs="Times New Roman"/>
          <w:i/>
          <w:sz w:val="24"/>
          <w:szCs w:val="24"/>
        </w:rPr>
        <w:t xml:space="preserve"> dhe Klima e Investimeve</w:t>
      </w:r>
      <w:r w:rsidRPr="000D3717">
        <w:rPr>
          <w:rFonts w:ascii="Times New Roman" w:hAnsi="Times New Roman" w:cs="Times New Roman"/>
          <w:sz w:val="24"/>
          <w:szCs w:val="24"/>
        </w:rPr>
        <w:t>” ku janë vendosur masat që duhet të realizohen në një afat të caktuar.</w:t>
      </w:r>
    </w:p>
    <w:p w14:paraId="623948D7" w14:textId="77777777" w:rsidR="001622C0" w:rsidRPr="000D3717" w:rsidRDefault="001622C0"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Ministria e Integrimit Evropian në bashkëpunim me Projektin e Binjakëzimit të BE-së</w:t>
      </w:r>
      <w:r w:rsidRPr="000D3717">
        <w:rPr>
          <w:rStyle w:val="FootnoteReference"/>
          <w:rFonts w:ascii="Times New Roman" w:hAnsi="Times New Roman" w:cs="Times New Roman"/>
          <w:sz w:val="24"/>
          <w:szCs w:val="24"/>
        </w:rPr>
        <w:footnoteReference w:id="1"/>
      </w:r>
      <w:r w:rsidRPr="000D3717">
        <w:rPr>
          <w:rFonts w:ascii="Times New Roman" w:hAnsi="Times New Roman" w:cs="Times New Roman"/>
          <w:sz w:val="24"/>
          <w:szCs w:val="24"/>
        </w:rPr>
        <w:t xml:space="preserve">, dhe institucionet e tjera relevante, ka përgatitur </w:t>
      </w:r>
      <w:r w:rsidRPr="000D3717">
        <w:rPr>
          <w:rFonts w:ascii="Times New Roman" w:hAnsi="Times New Roman" w:cs="Times New Roman"/>
          <w:i/>
          <w:sz w:val="24"/>
          <w:szCs w:val="24"/>
        </w:rPr>
        <w:t>Raportin për vlerësimin e zbrazëtirave (hendekut) nga Kapitulli 8</w:t>
      </w:r>
      <w:r w:rsidRPr="000D3717">
        <w:rPr>
          <w:rFonts w:ascii="Times New Roman" w:hAnsi="Times New Roman" w:cs="Times New Roman"/>
          <w:sz w:val="24"/>
          <w:szCs w:val="24"/>
        </w:rPr>
        <w:t xml:space="preserve"> (</w:t>
      </w:r>
      <w:r w:rsidRPr="000D3717">
        <w:rPr>
          <w:rFonts w:ascii="Times New Roman" w:hAnsi="Times New Roman" w:cs="Times New Roman"/>
          <w:i/>
          <w:sz w:val="24"/>
          <w:szCs w:val="24"/>
        </w:rPr>
        <w:t>“</w:t>
      </w:r>
      <w:proofErr w:type="spellStart"/>
      <w:r w:rsidRPr="000D3717">
        <w:rPr>
          <w:rFonts w:ascii="Times New Roman" w:hAnsi="Times New Roman" w:cs="Times New Roman"/>
          <w:i/>
          <w:sz w:val="24"/>
          <w:szCs w:val="24"/>
        </w:rPr>
        <w:t>Gap</w:t>
      </w:r>
      <w:proofErr w:type="spellEnd"/>
      <w:r w:rsidRPr="000D3717">
        <w:rPr>
          <w:rFonts w:ascii="Times New Roman" w:hAnsi="Times New Roman" w:cs="Times New Roman"/>
          <w:i/>
          <w:sz w:val="24"/>
          <w:szCs w:val="24"/>
        </w:rPr>
        <w:t xml:space="preserve"> </w:t>
      </w:r>
      <w:proofErr w:type="spellStart"/>
      <w:r w:rsidRPr="000D3717">
        <w:rPr>
          <w:rFonts w:ascii="Times New Roman" w:hAnsi="Times New Roman" w:cs="Times New Roman"/>
          <w:i/>
          <w:sz w:val="24"/>
          <w:szCs w:val="24"/>
        </w:rPr>
        <w:t>assessment</w:t>
      </w:r>
      <w:proofErr w:type="spellEnd"/>
      <w:r w:rsidRPr="000D3717">
        <w:rPr>
          <w:rFonts w:ascii="Times New Roman" w:hAnsi="Times New Roman" w:cs="Times New Roman"/>
          <w:i/>
          <w:sz w:val="24"/>
          <w:szCs w:val="24"/>
        </w:rPr>
        <w:t xml:space="preserve"> </w:t>
      </w:r>
      <w:proofErr w:type="spellStart"/>
      <w:r w:rsidRPr="000D3717">
        <w:rPr>
          <w:rFonts w:ascii="Times New Roman" w:hAnsi="Times New Roman" w:cs="Times New Roman"/>
          <w:i/>
          <w:sz w:val="24"/>
          <w:szCs w:val="24"/>
        </w:rPr>
        <w:t>Report</w:t>
      </w:r>
      <w:proofErr w:type="spellEnd"/>
      <w:r w:rsidRPr="000D3717">
        <w:rPr>
          <w:rFonts w:ascii="Times New Roman" w:hAnsi="Times New Roman" w:cs="Times New Roman"/>
          <w:i/>
          <w:sz w:val="24"/>
          <w:szCs w:val="24"/>
        </w:rPr>
        <w:t xml:space="preserve"> </w:t>
      </w:r>
      <w:proofErr w:type="spellStart"/>
      <w:r w:rsidRPr="000D3717">
        <w:rPr>
          <w:rFonts w:ascii="Times New Roman" w:hAnsi="Times New Roman" w:cs="Times New Roman"/>
          <w:i/>
          <w:sz w:val="24"/>
          <w:szCs w:val="24"/>
        </w:rPr>
        <w:t>on</w:t>
      </w:r>
      <w:proofErr w:type="spellEnd"/>
      <w:r w:rsidRPr="000D3717">
        <w:rPr>
          <w:rFonts w:ascii="Times New Roman" w:hAnsi="Times New Roman" w:cs="Times New Roman"/>
          <w:i/>
          <w:sz w:val="24"/>
          <w:szCs w:val="24"/>
        </w:rPr>
        <w:t xml:space="preserve"> </w:t>
      </w:r>
      <w:proofErr w:type="spellStart"/>
      <w:r w:rsidRPr="000D3717">
        <w:rPr>
          <w:rFonts w:ascii="Times New Roman" w:hAnsi="Times New Roman" w:cs="Times New Roman"/>
          <w:i/>
          <w:sz w:val="24"/>
          <w:szCs w:val="24"/>
        </w:rPr>
        <w:t>Chapter</w:t>
      </w:r>
      <w:proofErr w:type="spellEnd"/>
      <w:r w:rsidRPr="000D3717">
        <w:rPr>
          <w:rFonts w:ascii="Times New Roman" w:hAnsi="Times New Roman" w:cs="Times New Roman"/>
          <w:i/>
          <w:sz w:val="24"/>
          <w:szCs w:val="24"/>
        </w:rPr>
        <w:t xml:space="preserve"> 8”</w:t>
      </w:r>
      <w:r w:rsidRPr="000D3717">
        <w:rPr>
          <w:rStyle w:val="FootnoteReference"/>
          <w:rFonts w:ascii="Times New Roman" w:hAnsi="Times New Roman" w:cs="Times New Roman"/>
          <w:i/>
          <w:sz w:val="24"/>
          <w:szCs w:val="24"/>
        </w:rPr>
        <w:footnoteReference w:id="2"/>
      </w:r>
      <w:r w:rsidRPr="000D3717">
        <w:rPr>
          <w:rFonts w:ascii="Times New Roman" w:hAnsi="Times New Roman" w:cs="Times New Roman"/>
          <w:i/>
          <w:sz w:val="24"/>
          <w:szCs w:val="24"/>
        </w:rPr>
        <w:t>).</w:t>
      </w:r>
      <w:r w:rsidRPr="000D3717">
        <w:rPr>
          <w:rFonts w:ascii="Times New Roman" w:hAnsi="Times New Roman" w:cs="Times New Roman"/>
          <w:sz w:val="24"/>
          <w:szCs w:val="24"/>
        </w:rPr>
        <w:t xml:space="preserve"> Në këtë Raport paraqitet vlerësimi i nivelit të </w:t>
      </w:r>
      <w:proofErr w:type="spellStart"/>
      <w:r w:rsidRPr="000D3717">
        <w:rPr>
          <w:rFonts w:ascii="Times New Roman" w:hAnsi="Times New Roman" w:cs="Times New Roman"/>
          <w:sz w:val="24"/>
          <w:szCs w:val="24"/>
        </w:rPr>
        <w:t>transpozimit</w:t>
      </w:r>
      <w:proofErr w:type="spellEnd"/>
      <w:r w:rsidRPr="000D3717">
        <w:rPr>
          <w:rFonts w:ascii="Times New Roman" w:hAnsi="Times New Roman" w:cs="Times New Roman"/>
          <w:sz w:val="24"/>
          <w:szCs w:val="24"/>
        </w:rPr>
        <w:t xml:space="preserve"> të Kapitulli 8 </w:t>
      </w:r>
      <w:proofErr w:type="spellStart"/>
      <w:r w:rsidRPr="000D3717">
        <w:rPr>
          <w:rFonts w:ascii="Times New Roman" w:hAnsi="Times New Roman" w:cs="Times New Roman"/>
          <w:i/>
          <w:sz w:val="24"/>
          <w:szCs w:val="24"/>
        </w:rPr>
        <w:t>acquis</w:t>
      </w:r>
      <w:proofErr w:type="spellEnd"/>
      <w:r w:rsidRPr="000D3717">
        <w:rPr>
          <w:rFonts w:ascii="Times New Roman" w:hAnsi="Times New Roman" w:cs="Times New Roman"/>
          <w:i/>
          <w:sz w:val="24"/>
          <w:szCs w:val="24"/>
        </w:rPr>
        <w:t xml:space="preserve"> </w:t>
      </w:r>
      <w:r w:rsidRPr="000D3717">
        <w:rPr>
          <w:rFonts w:ascii="Times New Roman" w:hAnsi="Times New Roman" w:cs="Times New Roman"/>
          <w:sz w:val="24"/>
          <w:szCs w:val="24"/>
        </w:rPr>
        <w:t>të BE-së në legjislacionin vendor.</w:t>
      </w:r>
    </w:p>
    <w:p w14:paraId="4AAC41F6" w14:textId="77777777" w:rsidR="001622C0" w:rsidRPr="000D3717" w:rsidRDefault="001622C0" w:rsidP="000D3717">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Raporti është i ndarë në dy pjesë: konkurrenca dhe ndihma shtetërore. Sa i përket pjesës së konkurrencës, Raporti liston të gjithë legjislacionin relevant që duhet të </w:t>
      </w:r>
      <w:proofErr w:type="spellStart"/>
      <w:r w:rsidRPr="000D3717">
        <w:rPr>
          <w:rFonts w:ascii="Times New Roman" w:hAnsi="Times New Roman" w:cs="Times New Roman"/>
          <w:sz w:val="24"/>
          <w:szCs w:val="24"/>
        </w:rPr>
        <w:t>transpozohet</w:t>
      </w:r>
      <w:proofErr w:type="spellEnd"/>
      <w:r w:rsidRPr="000D3717">
        <w:rPr>
          <w:rFonts w:ascii="Times New Roman" w:hAnsi="Times New Roman" w:cs="Times New Roman"/>
          <w:sz w:val="24"/>
          <w:szCs w:val="24"/>
        </w:rPr>
        <w:t xml:space="preserve"> në proces të përafrimit të </w:t>
      </w:r>
      <w:proofErr w:type="spellStart"/>
      <w:r w:rsidRPr="000D3717">
        <w:rPr>
          <w:rFonts w:ascii="Times New Roman" w:hAnsi="Times New Roman" w:cs="Times New Roman"/>
          <w:sz w:val="24"/>
          <w:szCs w:val="24"/>
        </w:rPr>
        <w:t>legjilsacionit</w:t>
      </w:r>
      <w:proofErr w:type="spellEnd"/>
      <w:r w:rsidRPr="000D3717">
        <w:rPr>
          <w:rFonts w:ascii="Times New Roman" w:hAnsi="Times New Roman" w:cs="Times New Roman"/>
          <w:sz w:val="24"/>
          <w:szCs w:val="24"/>
        </w:rPr>
        <w:t xml:space="preserve"> vendor me atë të BE-së.</w:t>
      </w:r>
      <w:r w:rsidRPr="000D3717">
        <w:rPr>
          <w:rStyle w:val="FootnoteReference"/>
          <w:rFonts w:ascii="Times New Roman" w:hAnsi="Times New Roman" w:cs="Times New Roman"/>
          <w:sz w:val="24"/>
          <w:szCs w:val="24"/>
        </w:rPr>
        <w:footnoteReference w:id="3"/>
      </w:r>
      <w:r w:rsidRPr="000D3717">
        <w:rPr>
          <w:rFonts w:ascii="Times New Roman" w:hAnsi="Times New Roman" w:cs="Times New Roman"/>
          <w:sz w:val="24"/>
          <w:szCs w:val="24"/>
        </w:rPr>
        <w:t xml:space="preserve"> Nga kjo listë, Raporti gjithashtu paraqet aktet më të rëndësishme të </w:t>
      </w:r>
      <w:proofErr w:type="spellStart"/>
      <w:r w:rsidRPr="000D3717">
        <w:rPr>
          <w:rFonts w:ascii="Times New Roman" w:hAnsi="Times New Roman" w:cs="Times New Roman"/>
          <w:i/>
          <w:sz w:val="24"/>
          <w:szCs w:val="24"/>
        </w:rPr>
        <w:t>acquis</w:t>
      </w:r>
      <w:proofErr w:type="spellEnd"/>
      <w:r w:rsidRPr="000D3717">
        <w:rPr>
          <w:rFonts w:ascii="Times New Roman" w:hAnsi="Times New Roman" w:cs="Times New Roman"/>
          <w:i/>
          <w:sz w:val="24"/>
          <w:szCs w:val="24"/>
        </w:rPr>
        <w:t xml:space="preserve"> </w:t>
      </w:r>
      <w:r w:rsidRPr="000D3717">
        <w:rPr>
          <w:rFonts w:ascii="Times New Roman" w:hAnsi="Times New Roman" w:cs="Times New Roman"/>
          <w:sz w:val="24"/>
          <w:szCs w:val="24"/>
        </w:rPr>
        <w:t xml:space="preserve">relevante për këtë fazë të integrimit të Republikës së Kosovës, dhe nivelin aktual të </w:t>
      </w:r>
      <w:proofErr w:type="spellStart"/>
      <w:r w:rsidRPr="000D3717">
        <w:rPr>
          <w:rFonts w:ascii="Times New Roman" w:hAnsi="Times New Roman" w:cs="Times New Roman"/>
          <w:sz w:val="24"/>
          <w:szCs w:val="24"/>
        </w:rPr>
        <w:t>transpozimit</w:t>
      </w:r>
      <w:proofErr w:type="spellEnd"/>
      <w:r w:rsidRPr="000D3717">
        <w:rPr>
          <w:rFonts w:ascii="Times New Roman" w:hAnsi="Times New Roman" w:cs="Times New Roman"/>
          <w:sz w:val="24"/>
          <w:szCs w:val="24"/>
        </w:rPr>
        <w:t xml:space="preserve"> të tyre në legjislacionin vendor. </w:t>
      </w:r>
    </w:p>
    <w:p w14:paraId="4D6B5CBF" w14:textId="77777777" w:rsidR="001622C0" w:rsidRPr="000D3717" w:rsidRDefault="001622C0" w:rsidP="001622C0">
      <w:pPr>
        <w:spacing w:line="360" w:lineRule="auto"/>
        <w:jc w:val="both"/>
        <w:rPr>
          <w:rFonts w:ascii="Times New Roman" w:hAnsi="Times New Roman" w:cs="Times New Roman"/>
          <w:i/>
          <w:sz w:val="24"/>
          <w:szCs w:val="24"/>
        </w:rPr>
      </w:pPr>
      <w:r w:rsidRPr="000D3717">
        <w:rPr>
          <w:rFonts w:ascii="Times New Roman" w:hAnsi="Times New Roman" w:cs="Times New Roman"/>
          <w:i/>
          <w:sz w:val="24"/>
          <w:szCs w:val="24"/>
        </w:rPr>
        <w:t xml:space="preserve">Figura 2 – Lista e akteve më të rëndësishme të </w:t>
      </w:r>
      <w:proofErr w:type="spellStart"/>
      <w:r w:rsidRPr="000D3717">
        <w:rPr>
          <w:rFonts w:ascii="Times New Roman" w:hAnsi="Times New Roman" w:cs="Times New Roman"/>
          <w:i/>
          <w:sz w:val="24"/>
          <w:szCs w:val="24"/>
        </w:rPr>
        <w:t>acquis</w:t>
      </w:r>
      <w:proofErr w:type="spellEnd"/>
      <w:r w:rsidRPr="000D3717">
        <w:rPr>
          <w:rFonts w:ascii="Times New Roman" w:hAnsi="Times New Roman" w:cs="Times New Roman"/>
          <w:i/>
          <w:sz w:val="24"/>
          <w:szCs w:val="24"/>
        </w:rPr>
        <w:t xml:space="preserve"> nga fusha e Konkurrencës dhe niveli i </w:t>
      </w:r>
      <w:proofErr w:type="spellStart"/>
      <w:r w:rsidRPr="000D3717">
        <w:rPr>
          <w:rFonts w:ascii="Times New Roman" w:hAnsi="Times New Roman" w:cs="Times New Roman"/>
          <w:i/>
          <w:sz w:val="24"/>
          <w:szCs w:val="24"/>
        </w:rPr>
        <w:t>transpozimit</w:t>
      </w:r>
      <w:proofErr w:type="spellEnd"/>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997"/>
        <w:gridCol w:w="3402"/>
        <w:gridCol w:w="2835"/>
      </w:tblGrid>
      <w:tr w:rsidR="001622C0" w:rsidRPr="009C77F2" w14:paraId="4A1FA168" w14:textId="77777777" w:rsidTr="001C7171">
        <w:tc>
          <w:tcPr>
            <w:tcW w:w="557" w:type="dxa"/>
            <w:shd w:val="clear" w:color="auto" w:fill="DBE5F1"/>
          </w:tcPr>
          <w:p w14:paraId="2AD1F82F"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Nr.</w:t>
            </w:r>
          </w:p>
        </w:tc>
        <w:tc>
          <w:tcPr>
            <w:tcW w:w="2997" w:type="dxa"/>
            <w:shd w:val="clear" w:color="auto" w:fill="DBE5F1"/>
          </w:tcPr>
          <w:p w14:paraId="542AF306" w14:textId="77777777" w:rsidR="001622C0" w:rsidRPr="005B54DA" w:rsidRDefault="001622C0" w:rsidP="001C7171">
            <w:pPr>
              <w:spacing w:before="120"/>
              <w:jc w:val="center"/>
              <w:rPr>
                <w:rFonts w:ascii="Times New Roman" w:hAnsi="Times New Roman" w:cs="Times New Roman"/>
                <w:sz w:val="24"/>
                <w:szCs w:val="24"/>
              </w:rPr>
            </w:pPr>
            <w:r w:rsidRPr="005B54DA">
              <w:rPr>
                <w:rFonts w:ascii="Times New Roman" w:hAnsi="Times New Roman" w:cs="Times New Roman"/>
                <w:sz w:val="24"/>
                <w:szCs w:val="24"/>
              </w:rPr>
              <w:t>Dispozitat e Traktatit / Rregulloret / Direktivat / Legjislacioni dytësor</w:t>
            </w:r>
          </w:p>
        </w:tc>
        <w:tc>
          <w:tcPr>
            <w:tcW w:w="3402" w:type="dxa"/>
            <w:shd w:val="clear" w:color="auto" w:fill="DBE5F1"/>
          </w:tcPr>
          <w:p w14:paraId="0EB9FFC1" w14:textId="77777777" w:rsidR="001622C0" w:rsidRPr="005B54DA" w:rsidRDefault="001622C0" w:rsidP="001C7171">
            <w:pPr>
              <w:spacing w:before="120"/>
              <w:jc w:val="center"/>
              <w:rPr>
                <w:rFonts w:ascii="Times New Roman" w:hAnsi="Times New Roman" w:cs="Times New Roman"/>
                <w:b/>
                <w:sz w:val="24"/>
                <w:szCs w:val="24"/>
              </w:rPr>
            </w:pPr>
            <w:r w:rsidRPr="005B54DA">
              <w:rPr>
                <w:rFonts w:ascii="Times New Roman" w:hAnsi="Times New Roman" w:cs="Times New Roman"/>
                <w:sz w:val="24"/>
                <w:szCs w:val="24"/>
              </w:rPr>
              <w:t>P</w:t>
            </w:r>
            <w:r w:rsidRPr="005B54DA">
              <w:rPr>
                <w:rFonts w:ascii="Times New Roman" w:hAnsi="Times New Roman" w:cs="Times New Roman"/>
                <w:sz w:val="24"/>
                <w:szCs w:val="24"/>
                <w:lang w:eastAsia="zh-CN"/>
              </w:rPr>
              <w:t>ërmbajtja dhe qëllimi</w:t>
            </w:r>
          </w:p>
        </w:tc>
        <w:tc>
          <w:tcPr>
            <w:tcW w:w="2835" w:type="dxa"/>
            <w:shd w:val="clear" w:color="auto" w:fill="DBE5F1"/>
          </w:tcPr>
          <w:p w14:paraId="10954909" w14:textId="77777777" w:rsidR="001622C0" w:rsidRPr="005B54DA" w:rsidRDefault="001622C0" w:rsidP="001C7171">
            <w:pPr>
              <w:spacing w:before="120"/>
              <w:jc w:val="center"/>
              <w:rPr>
                <w:rFonts w:ascii="Times New Roman" w:hAnsi="Times New Roman" w:cs="Times New Roman"/>
                <w:sz w:val="24"/>
                <w:szCs w:val="24"/>
              </w:rPr>
            </w:pPr>
            <w:r w:rsidRPr="005B54DA">
              <w:rPr>
                <w:rFonts w:ascii="Times New Roman" w:hAnsi="Times New Roman" w:cs="Times New Roman"/>
                <w:sz w:val="24"/>
                <w:szCs w:val="24"/>
              </w:rPr>
              <w:t>Legjislacioni vendor q</w:t>
            </w:r>
            <w:r w:rsidRPr="005B54DA">
              <w:rPr>
                <w:rFonts w:ascii="Times New Roman" w:hAnsi="Times New Roman" w:cs="Times New Roman"/>
                <w:sz w:val="24"/>
                <w:szCs w:val="24"/>
                <w:lang w:eastAsia="zh-CN"/>
              </w:rPr>
              <w:t xml:space="preserve">ë </w:t>
            </w:r>
            <w:proofErr w:type="spellStart"/>
            <w:r w:rsidRPr="005B54DA">
              <w:rPr>
                <w:rFonts w:ascii="Times New Roman" w:hAnsi="Times New Roman" w:cs="Times New Roman"/>
                <w:sz w:val="24"/>
                <w:szCs w:val="24"/>
                <w:lang w:eastAsia="zh-CN"/>
              </w:rPr>
              <w:t>transpo</w:t>
            </w:r>
            <w:r w:rsidR="00FE7A1A" w:rsidRPr="005B54DA">
              <w:rPr>
                <w:rFonts w:ascii="Times New Roman" w:hAnsi="Times New Roman" w:cs="Times New Roman"/>
                <w:sz w:val="24"/>
                <w:szCs w:val="24"/>
                <w:lang w:eastAsia="zh-CN"/>
              </w:rPr>
              <w:t>z</w:t>
            </w:r>
            <w:r w:rsidRPr="005B54DA">
              <w:rPr>
                <w:rFonts w:ascii="Times New Roman" w:hAnsi="Times New Roman" w:cs="Times New Roman"/>
                <w:sz w:val="24"/>
                <w:szCs w:val="24"/>
                <w:lang w:eastAsia="zh-CN"/>
              </w:rPr>
              <w:t>on</w:t>
            </w:r>
            <w:proofErr w:type="spellEnd"/>
            <w:r w:rsidRPr="005B54DA">
              <w:rPr>
                <w:rFonts w:ascii="Times New Roman" w:hAnsi="Times New Roman" w:cs="Times New Roman"/>
                <w:sz w:val="24"/>
                <w:szCs w:val="24"/>
                <w:lang w:eastAsia="zh-CN"/>
              </w:rPr>
              <w:t xml:space="preserve"> </w:t>
            </w:r>
            <w:proofErr w:type="spellStart"/>
            <w:r w:rsidRPr="005B54DA">
              <w:rPr>
                <w:rFonts w:ascii="Times New Roman" w:hAnsi="Times New Roman" w:cs="Times New Roman"/>
                <w:i/>
                <w:sz w:val="24"/>
                <w:szCs w:val="24"/>
                <w:lang w:eastAsia="zh-CN"/>
              </w:rPr>
              <w:t>acquis</w:t>
            </w:r>
            <w:proofErr w:type="spellEnd"/>
            <w:r w:rsidRPr="005B54DA">
              <w:rPr>
                <w:rFonts w:ascii="Times New Roman" w:hAnsi="Times New Roman" w:cs="Times New Roman"/>
                <w:sz w:val="24"/>
                <w:szCs w:val="24"/>
                <w:lang w:eastAsia="zh-CN"/>
              </w:rPr>
              <w:t xml:space="preserve"> të BE-së </w:t>
            </w:r>
            <w:r w:rsidRPr="005B54DA">
              <w:rPr>
                <w:rFonts w:ascii="Times New Roman" w:hAnsi="Times New Roman" w:cs="Times New Roman"/>
                <w:sz w:val="24"/>
                <w:szCs w:val="24"/>
              </w:rPr>
              <w:t>dhe niveli i p</w:t>
            </w:r>
            <w:r w:rsidRPr="005B54DA">
              <w:rPr>
                <w:rFonts w:ascii="Times New Roman" w:hAnsi="Times New Roman" w:cs="Times New Roman"/>
                <w:sz w:val="24"/>
                <w:szCs w:val="24"/>
                <w:lang w:eastAsia="zh-CN"/>
              </w:rPr>
              <w:t>ërputhshmërisë</w:t>
            </w:r>
          </w:p>
        </w:tc>
      </w:tr>
      <w:tr w:rsidR="001622C0" w:rsidRPr="009C77F2" w14:paraId="6ACD4000" w14:textId="77777777" w:rsidTr="001C7171">
        <w:tc>
          <w:tcPr>
            <w:tcW w:w="557" w:type="dxa"/>
          </w:tcPr>
          <w:p w14:paraId="3A7FE308"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1</w:t>
            </w:r>
          </w:p>
        </w:tc>
        <w:tc>
          <w:tcPr>
            <w:tcW w:w="2997" w:type="dxa"/>
          </w:tcPr>
          <w:p w14:paraId="573571FC"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lang w:eastAsia="fr-BE"/>
              </w:rPr>
              <w:t>Neni 101 dhe 102 i TFBE-së</w:t>
            </w:r>
            <w:r w:rsidRPr="005B54DA">
              <w:rPr>
                <w:rStyle w:val="FootnoteReference"/>
                <w:rFonts w:ascii="Times New Roman" w:hAnsi="Times New Roman" w:cs="Times New Roman"/>
                <w:sz w:val="24"/>
                <w:szCs w:val="24"/>
                <w:lang w:eastAsia="fr-BE"/>
              </w:rPr>
              <w:footnoteReference w:id="4"/>
            </w:r>
          </w:p>
        </w:tc>
        <w:tc>
          <w:tcPr>
            <w:tcW w:w="3402" w:type="dxa"/>
          </w:tcPr>
          <w:p w14:paraId="3862C6B6" w14:textId="65E747EC" w:rsidR="001622C0" w:rsidRPr="005B54DA" w:rsidRDefault="001622C0" w:rsidP="001571AA">
            <w:pPr>
              <w:spacing w:before="120"/>
              <w:jc w:val="both"/>
              <w:rPr>
                <w:rFonts w:ascii="Times New Roman" w:hAnsi="Times New Roman" w:cs="Times New Roman"/>
                <w:sz w:val="24"/>
                <w:szCs w:val="24"/>
              </w:rPr>
            </w:pPr>
            <w:r w:rsidRPr="005B54DA">
              <w:rPr>
                <w:rFonts w:ascii="Times New Roman" w:hAnsi="Times New Roman" w:cs="Times New Roman"/>
                <w:sz w:val="24"/>
                <w:szCs w:val="24"/>
                <w:lang w:eastAsia="zh-CN"/>
              </w:rPr>
              <w:t xml:space="preserve">Synon të sigurojë konkurrencë të lirë dhe efektive përmes dispozitave që ndër të tjera kanë për qëllim ndalimin e marrëveshjeve dhe kartelave </w:t>
            </w:r>
            <w:proofErr w:type="spellStart"/>
            <w:r w:rsidRPr="005B54DA">
              <w:rPr>
                <w:rFonts w:ascii="Times New Roman" w:hAnsi="Times New Roman" w:cs="Times New Roman"/>
                <w:sz w:val="24"/>
                <w:szCs w:val="24"/>
                <w:lang w:eastAsia="zh-CN"/>
              </w:rPr>
              <w:t>anti</w:t>
            </w:r>
            <w:proofErr w:type="spellEnd"/>
            <w:r w:rsidRPr="005B54DA">
              <w:rPr>
                <w:rFonts w:ascii="Times New Roman" w:hAnsi="Times New Roman" w:cs="Times New Roman"/>
                <w:sz w:val="24"/>
                <w:szCs w:val="24"/>
                <w:lang w:eastAsia="zh-CN"/>
              </w:rPr>
              <w:t>-konkurruese dhe abuzimin me pozitë dominuese.</w:t>
            </w:r>
          </w:p>
        </w:tc>
        <w:tc>
          <w:tcPr>
            <w:tcW w:w="2835" w:type="dxa"/>
          </w:tcPr>
          <w:p w14:paraId="406DF8C0" w14:textId="77777777" w:rsidR="001622C0" w:rsidRPr="005B54DA" w:rsidRDefault="001622C0" w:rsidP="001C7171">
            <w:pPr>
              <w:spacing w:before="120"/>
              <w:jc w:val="both"/>
              <w:rPr>
                <w:rFonts w:ascii="Times New Roman" w:hAnsi="Times New Roman" w:cs="Times New Roman"/>
                <w:sz w:val="24"/>
                <w:szCs w:val="24"/>
              </w:rPr>
            </w:pPr>
            <w:bookmarkStart w:id="4" w:name="_Hlk516053216"/>
            <w:r w:rsidRPr="005B54DA">
              <w:rPr>
                <w:rFonts w:ascii="Times New Roman" w:hAnsi="Times New Roman" w:cs="Times New Roman"/>
                <w:sz w:val="24"/>
                <w:szCs w:val="24"/>
              </w:rPr>
              <w:t xml:space="preserve">Ligji Nr. 03/L-229 për Mbrojtjen e Konkurrencës, 2010; </w:t>
            </w:r>
          </w:p>
          <w:p w14:paraId="55ECC646"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w:t>
            </w:r>
            <w:bookmarkEnd w:id="4"/>
            <w:r w:rsidRPr="005B54DA">
              <w:rPr>
                <w:rFonts w:ascii="Times New Roman" w:hAnsi="Times New Roman" w:cs="Times New Roman"/>
                <w:sz w:val="24"/>
                <w:szCs w:val="24"/>
              </w:rPr>
              <w:t>, 2014.</w:t>
            </w:r>
          </w:p>
          <w:p w14:paraId="777F542D"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091E5EED" w14:textId="77777777" w:rsidTr="001C7171">
        <w:tc>
          <w:tcPr>
            <w:tcW w:w="557" w:type="dxa"/>
          </w:tcPr>
          <w:p w14:paraId="5F1D315D"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2</w:t>
            </w:r>
          </w:p>
        </w:tc>
        <w:tc>
          <w:tcPr>
            <w:tcW w:w="2997" w:type="dxa"/>
          </w:tcPr>
          <w:p w14:paraId="7DFBB63E" w14:textId="77777777" w:rsidR="001622C0" w:rsidRPr="005B54DA" w:rsidRDefault="001622C0" w:rsidP="001C7171">
            <w:pPr>
              <w:spacing w:before="120"/>
              <w:jc w:val="both"/>
              <w:rPr>
                <w:rFonts w:ascii="Times New Roman" w:hAnsi="Times New Roman" w:cs="Times New Roman"/>
                <w:sz w:val="24"/>
                <w:szCs w:val="24"/>
                <w:lang w:eastAsia="fr-BE"/>
              </w:rPr>
            </w:pPr>
            <w:r w:rsidRPr="005B54DA">
              <w:rPr>
                <w:rFonts w:ascii="Times New Roman" w:hAnsi="Times New Roman" w:cs="Times New Roman"/>
                <w:sz w:val="24"/>
                <w:szCs w:val="24"/>
                <w:lang w:eastAsia="fr-BE"/>
              </w:rPr>
              <w:t>Rregullorja e Këshillit (KE) Nr. 1/2003 e datës 16 dhjetor 2002 mbi zbatimin e rregullave të konkurrencës të përcaktuara në nenet 81 dhe 82 të Traktatit me amendamente (OJ L 1, 04.01.2003, f. 1-25)</w:t>
            </w:r>
            <w:r w:rsidRPr="005B54DA">
              <w:rPr>
                <w:rStyle w:val="FootnoteReference"/>
                <w:rFonts w:ascii="Times New Roman" w:hAnsi="Times New Roman" w:cs="Times New Roman"/>
                <w:sz w:val="24"/>
                <w:szCs w:val="24"/>
                <w:lang w:eastAsia="fr-BE"/>
              </w:rPr>
              <w:footnoteReference w:id="5"/>
            </w:r>
          </w:p>
          <w:p w14:paraId="3C8B5339"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48047E5C"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lang w:eastAsia="zh-CN"/>
              </w:rPr>
              <w:t>Siguron rregulla për procedurat për të siguruar një zbatim efektiv të rregullave të konkurrencës së BE-së. Në të njëjtën kohë, respekton të drejtat themelore të mbrojtjes dhe rregullon barrën e provës sipas nenit 101 dhe 102 të TFBE-së.</w:t>
            </w:r>
          </w:p>
        </w:tc>
        <w:tc>
          <w:tcPr>
            <w:tcW w:w="2835" w:type="dxa"/>
          </w:tcPr>
          <w:p w14:paraId="6F70624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03/L-229 për Mbrojtjen e Konkurrencës, 2010; </w:t>
            </w:r>
          </w:p>
          <w:p w14:paraId="4577AD0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 2014.</w:t>
            </w:r>
          </w:p>
          <w:p w14:paraId="1B3631BA"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46B65AD1" w14:textId="77777777" w:rsidTr="001C7171">
        <w:tc>
          <w:tcPr>
            <w:tcW w:w="557" w:type="dxa"/>
          </w:tcPr>
          <w:p w14:paraId="6D2C5FF8"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3</w:t>
            </w:r>
          </w:p>
        </w:tc>
        <w:tc>
          <w:tcPr>
            <w:tcW w:w="2997" w:type="dxa"/>
          </w:tcPr>
          <w:p w14:paraId="5A6A9DEF"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Rregullorja e Komisionit (KE) Nr. 773/2004 e datës 7 prill 2004 në lidhje me zhvillimin e procedurave nga Komisioni në përputhje me nenet 81 dhe 82 të Traktatit të KE-së (OJ L 123, 27.04.2004, f. 18-24)</w:t>
            </w:r>
            <w:r w:rsidRPr="005B54DA">
              <w:rPr>
                <w:rStyle w:val="FootnoteReference"/>
                <w:rFonts w:ascii="Times New Roman" w:hAnsi="Times New Roman" w:cs="Times New Roman"/>
                <w:sz w:val="24"/>
                <w:szCs w:val="24"/>
              </w:rPr>
              <w:footnoteReference w:id="6"/>
            </w:r>
          </w:p>
        </w:tc>
        <w:tc>
          <w:tcPr>
            <w:tcW w:w="3402" w:type="dxa"/>
          </w:tcPr>
          <w:p w14:paraId="4739C8F1"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Kjo rregullore fuqizon Komisionin për të rregulluar disa aspekte të procedurave siç janë trajtimi i ankesave, ushtrimi i së drejtës për t'u dëgjuar dhe qasja në dosje.</w:t>
            </w:r>
          </w:p>
          <w:p w14:paraId="0EDEADB4" w14:textId="77777777" w:rsidR="001622C0" w:rsidRPr="005B54DA" w:rsidRDefault="001622C0" w:rsidP="001C7171">
            <w:pPr>
              <w:spacing w:before="120"/>
              <w:jc w:val="both"/>
              <w:rPr>
                <w:rFonts w:ascii="Times New Roman" w:hAnsi="Times New Roman" w:cs="Times New Roman"/>
                <w:sz w:val="24"/>
                <w:szCs w:val="24"/>
              </w:rPr>
            </w:pPr>
          </w:p>
        </w:tc>
        <w:tc>
          <w:tcPr>
            <w:tcW w:w="2835" w:type="dxa"/>
          </w:tcPr>
          <w:p w14:paraId="0FBA984D"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03/L-229 për Mbrojtjen e Konkurrencës, 2010; </w:t>
            </w:r>
          </w:p>
          <w:p w14:paraId="0471878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04/L-226 për ndryshimin dhe plotësimin e Ligjit Nr. 03/L-229 për Mbrojtjen e Konkurrencës, </w:t>
            </w:r>
            <w:r w:rsidRPr="005B54DA">
              <w:rPr>
                <w:rFonts w:ascii="Times New Roman" w:hAnsi="Times New Roman" w:cs="Times New Roman"/>
                <w:sz w:val="24"/>
                <w:szCs w:val="24"/>
              </w:rPr>
              <w:lastRenderedPageBreak/>
              <w:t>2014.</w:t>
            </w:r>
          </w:p>
          <w:p w14:paraId="12684F49"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sz w:val="24"/>
                <w:szCs w:val="24"/>
              </w:rPr>
              <w:t>.</w:t>
            </w:r>
          </w:p>
        </w:tc>
      </w:tr>
      <w:tr w:rsidR="001622C0" w:rsidRPr="009C77F2" w14:paraId="40E00AE4" w14:textId="77777777" w:rsidTr="001C7171">
        <w:tc>
          <w:tcPr>
            <w:tcW w:w="557" w:type="dxa"/>
          </w:tcPr>
          <w:p w14:paraId="5CC6DFB6"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4</w:t>
            </w:r>
          </w:p>
        </w:tc>
        <w:tc>
          <w:tcPr>
            <w:tcW w:w="2997" w:type="dxa"/>
          </w:tcPr>
          <w:p w14:paraId="5481368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Udhëzime për mënyrën e përcaktimit të gjobave të shqiptuara në pajtim me nenin 23 (2) (a) të Rregullores nr. 1/2003 (OJ C 210, 1.09.2006, f. 2-5)</w:t>
            </w:r>
            <w:r w:rsidRPr="005B54DA">
              <w:rPr>
                <w:rStyle w:val="FootnoteReference"/>
                <w:rFonts w:ascii="Times New Roman" w:hAnsi="Times New Roman" w:cs="Times New Roman"/>
                <w:sz w:val="24"/>
                <w:szCs w:val="24"/>
              </w:rPr>
              <w:footnoteReference w:id="7"/>
            </w:r>
          </w:p>
          <w:p w14:paraId="7C1520EB"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519CD5B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Vendosja e një metode për përcaktimin e gjobave që do t'u shqiptohen sipërmarrjeve ose shoqatave të ndërmarrjeve për të garantuar transparencën dhe paanshmërinë e vendimit për gjobën.</w:t>
            </w:r>
          </w:p>
        </w:tc>
        <w:tc>
          <w:tcPr>
            <w:tcW w:w="2835" w:type="dxa"/>
          </w:tcPr>
          <w:p w14:paraId="08BF1776"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03/L-229 për Mbrojtjen e Konkurrencës, 2010; </w:t>
            </w:r>
          </w:p>
          <w:p w14:paraId="25F3BEC5"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 2014.</w:t>
            </w:r>
          </w:p>
          <w:p w14:paraId="12EA4830"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61E7E46A" w14:textId="77777777" w:rsidTr="001C7171">
        <w:tc>
          <w:tcPr>
            <w:tcW w:w="557" w:type="dxa"/>
          </w:tcPr>
          <w:p w14:paraId="6E0EA22B"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5</w:t>
            </w:r>
          </w:p>
        </w:tc>
        <w:tc>
          <w:tcPr>
            <w:tcW w:w="2997" w:type="dxa"/>
          </w:tcPr>
          <w:p w14:paraId="4270478D"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Njoftimi i Komisionit për imunitetin nga gjobat dhe zvogëlimi i gjobave në rastet e kartelit (OJ C 298, 8.12.2006, </w:t>
            </w:r>
            <w:proofErr w:type="spellStart"/>
            <w:r w:rsidRPr="005B54DA">
              <w:rPr>
                <w:rFonts w:ascii="Times New Roman" w:hAnsi="Times New Roman" w:cs="Times New Roman"/>
                <w:sz w:val="24"/>
                <w:szCs w:val="24"/>
              </w:rPr>
              <w:t>fq</w:t>
            </w:r>
            <w:proofErr w:type="spellEnd"/>
            <w:r w:rsidRPr="005B54DA">
              <w:rPr>
                <w:rFonts w:ascii="Times New Roman" w:hAnsi="Times New Roman" w:cs="Times New Roman"/>
                <w:sz w:val="24"/>
                <w:szCs w:val="24"/>
              </w:rPr>
              <w:t>. 17), i ndryshuar nga një Njoftim i vitit 2015 (OJ C 256, 5.8.2015, f. 1)</w:t>
            </w:r>
            <w:r w:rsidRPr="005B54DA">
              <w:rPr>
                <w:rStyle w:val="FootnoteReference"/>
                <w:rFonts w:ascii="Times New Roman" w:hAnsi="Times New Roman" w:cs="Times New Roman"/>
                <w:sz w:val="24"/>
                <w:szCs w:val="24"/>
              </w:rPr>
              <w:footnoteReference w:id="8"/>
            </w:r>
          </w:p>
        </w:tc>
        <w:tc>
          <w:tcPr>
            <w:tcW w:w="3402" w:type="dxa"/>
          </w:tcPr>
          <w:p w14:paraId="6875D6D8"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Rregullon se në cilat rrethana dhe sipas të cilave procedura, ndërmarrjet mund të shpërblehen me imunitet të plotë ose t’i zvogëlohen gjobat për bashkëpunimin e tyre në hetimin e autoritetit.</w:t>
            </w:r>
          </w:p>
        </w:tc>
        <w:tc>
          <w:tcPr>
            <w:tcW w:w="2835" w:type="dxa"/>
          </w:tcPr>
          <w:p w14:paraId="0BC00885"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03/L-229 për Mbrojtjen e Konkurrencës, 2010; </w:t>
            </w:r>
          </w:p>
          <w:p w14:paraId="611386F1"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 2014.</w:t>
            </w:r>
          </w:p>
          <w:p w14:paraId="452CC755"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52D1CABB" w14:textId="77777777" w:rsidTr="001C7171">
        <w:tc>
          <w:tcPr>
            <w:tcW w:w="557" w:type="dxa"/>
          </w:tcPr>
          <w:p w14:paraId="18329CDD"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6</w:t>
            </w:r>
          </w:p>
        </w:tc>
        <w:tc>
          <w:tcPr>
            <w:tcW w:w="2997" w:type="dxa"/>
          </w:tcPr>
          <w:p w14:paraId="68B88267"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Njoftimi i Komisionit mbi përcaktimin e tregut relevant për qëllimet e ligjit të konkurrencës së Komunitetit (OJ C 372, 9.12.1997, f. 5-13)</w:t>
            </w:r>
            <w:r w:rsidRPr="005B54DA">
              <w:rPr>
                <w:rStyle w:val="FootnoteReference"/>
                <w:rFonts w:ascii="Times New Roman" w:hAnsi="Times New Roman" w:cs="Times New Roman"/>
                <w:sz w:val="24"/>
                <w:szCs w:val="24"/>
              </w:rPr>
              <w:footnoteReference w:id="9"/>
            </w:r>
          </w:p>
          <w:p w14:paraId="096FAB7F"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1C12E734"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lang w:eastAsia="zh-CN"/>
              </w:rPr>
              <w:lastRenderedPageBreak/>
              <w:t xml:space="preserve">Qëllimi i këtij njoftimi është të ofrojë udhëzime se si Komisioni zbaton konceptin e tregut relevant të produktit dhe gjeografik në zbatimin e tij të vazhdueshëm të ligjit të </w:t>
            </w:r>
            <w:r w:rsidRPr="005B54DA">
              <w:rPr>
                <w:rFonts w:ascii="Times New Roman" w:hAnsi="Times New Roman" w:cs="Times New Roman"/>
                <w:sz w:val="24"/>
                <w:szCs w:val="24"/>
                <w:lang w:eastAsia="zh-CN"/>
              </w:rPr>
              <w:lastRenderedPageBreak/>
              <w:t>konkurrencës. Përkufizimi është një mjet për të identifikuar dhe përcaktuar kufijtë e konkurrencës ndërmjet ndërmarrjeve.</w:t>
            </w:r>
          </w:p>
        </w:tc>
        <w:tc>
          <w:tcPr>
            <w:tcW w:w="2835" w:type="dxa"/>
          </w:tcPr>
          <w:p w14:paraId="1C3C74FC"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 xml:space="preserve">Udhëzim Administrativ Nr. 02/2011 për mënyrën dhe </w:t>
            </w:r>
            <w:proofErr w:type="spellStart"/>
            <w:r w:rsidRPr="005B54DA">
              <w:rPr>
                <w:rFonts w:ascii="Times New Roman" w:hAnsi="Times New Roman" w:cs="Times New Roman"/>
                <w:sz w:val="24"/>
                <w:szCs w:val="24"/>
              </w:rPr>
              <w:t>Krieteret</w:t>
            </w:r>
            <w:proofErr w:type="spellEnd"/>
            <w:r w:rsidRPr="005B54DA">
              <w:rPr>
                <w:rFonts w:ascii="Times New Roman" w:hAnsi="Times New Roman" w:cs="Times New Roman"/>
                <w:sz w:val="24"/>
                <w:szCs w:val="24"/>
              </w:rPr>
              <w:t xml:space="preserve"> për Përcaktimin e Tregut Relevant.</w:t>
            </w:r>
          </w:p>
          <w:p w14:paraId="566098C6"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lastRenderedPageBreak/>
              <w:t xml:space="preserve"> 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07CC656B" w14:textId="77777777" w:rsidTr="001C7171">
        <w:tc>
          <w:tcPr>
            <w:tcW w:w="557" w:type="dxa"/>
          </w:tcPr>
          <w:p w14:paraId="555B49DD"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7</w:t>
            </w:r>
          </w:p>
        </w:tc>
        <w:tc>
          <w:tcPr>
            <w:tcW w:w="2997" w:type="dxa"/>
          </w:tcPr>
          <w:p w14:paraId="2A2D8CA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Njoftimi i Komisionit mbi praktikat më të mira për zhvillimin e procedurave në lidhje me nenet 101 dhe 102 TFEU (OJ C 308, 20.10.2011, f. 6-32)</w:t>
            </w:r>
            <w:r w:rsidRPr="005B54DA">
              <w:rPr>
                <w:rStyle w:val="FootnoteReference"/>
                <w:rFonts w:ascii="Times New Roman" w:hAnsi="Times New Roman" w:cs="Times New Roman"/>
                <w:sz w:val="24"/>
                <w:szCs w:val="24"/>
              </w:rPr>
              <w:footnoteReference w:id="10"/>
            </w:r>
          </w:p>
          <w:p w14:paraId="30790B87"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2EBC0A5E" w14:textId="77777777"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t>Qëllimi kryesor i këtij njoftimi është të sigurojë transparencë me anë të udhëzimeve praktike për zhvillimin e procedurave para Autoritetit të Konkurrencës. Ky udhëzim kërkon të rrisë kuptueshmërinë e procesit të hetimit.</w:t>
            </w:r>
          </w:p>
        </w:tc>
        <w:tc>
          <w:tcPr>
            <w:tcW w:w="2835" w:type="dxa"/>
          </w:tcPr>
          <w:p w14:paraId="7EE68732"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Rregullore Nr. 01/ 2017 për Procedurën Hetimore të Autoritetit Kosovar të Konkurrencës. </w:t>
            </w:r>
          </w:p>
          <w:p w14:paraId="6CDD7B34"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0991EAC2" w14:textId="77777777" w:rsidTr="001C7171">
        <w:tc>
          <w:tcPr>
            <w:tcW w:w="557" w:type="dxa"/>
          </w:tcPr>
          <w:p w14:paraId="475B6029"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8</w:t>
            </w:r>
          </w:p>
        </w:tc>
        <w:tc>
          <w:tcPr>
            <w:tcW w:w="2997" w:type="dxa"/>
          </w:tcPr>
          <w:p w14:paraId="1784D7C5" w14:textId="74BF136E"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Komunikimi nga Komisioni - Njoftimi për marrëveshjet me rëndësi të vogël që nuk e kufizojnë ndjeshëm konkurrencën sipas nenit 101 (1) të Traktatit për Funksionimin e Bashkimit E</w:t>
            </w:r>
            <w:r w:rsidR="004048F5">
              <w:rPr>
                <w:rFonts w:ascii="Times New Roman" w:hAnsi="Times New Roman" w:cs="Times New Roman"/>
                <w:sz w:val="24"/>
                <w:szCs w:val="24"/>
              </w:rPr>
              <w:t>v</w:t>
            </w:r>
            <w:r w:rsidRPr="005B54DA">
              <w:rPr>
                <w:rFonts w:ascii="Times New Roman" w:hAnsi="Times New Roman" w:cs="Times New Roman"/>
                <w:sz w:val="24"/>
                <w:szCs w:val="24"/>
              </w:rPr>
              <w:t xml:space="preserve">ropian (Njoftimi De </w:t>
            </w:r>
            <w:proofErr w:type="spellStart"/>
            <w:r w:rsidRPr="005B54DA">
              <w:rPr>
                <w:rFonts w:ascii="Times New Roman" w:hAnsi="Times New Roman" w:cs="Times New Roman"/>
                <w:sz w:val="24"/>
                <w:szCs w:val="24"/>
              </w:rPr>
              <w:t>Minimis</w:t>
            </w:r>
            <w:proofErr w:type="spellEnd"/>
            <w:r w:rsidRPr="005B54DA">
              <w:rPr>
                <w:rFonts w:ascii="Times New Roman" w:hAnsi="Times New Roman" w:cs="Times New Roman"/>
                <w:sz w:val="24"/>
                <w:szCs w:val="24"/>
              </w:rPr>
              <w:t>) (OJ C 291, 30.08.2014, f. 1-4)</w:t>
            </w:r>
            <w:r w:rsidRPr="005B54DA">
              <w:rPr>
                <w:rStyle w:val="FootnoteReference"/>
                <w:rFonts w:ascii="Times New Roman" w:hAnsi="Times New Roman" w:cs="Times New Roman"/>
                <w:sz w:val="24"/>
                <w:szCs w:val="24"/>
              </w:rPr>
              <w:footnoteReference w:id="11"/>
            </w:r>
          </w:p>
          <w:p w14:paraId="5E564FFF"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3047C2A7"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lang w:eastAsia="zh-CN"/>
              </w:rPr>
              <w:t>Njoftimi tregon, me ndihmën e pragjeve të pjesëmarrjes në treg, se në cilat rrethana marrëveshjet që konsiderohen të kenë si efekt parandalimin, kufizimin ose shtrembërimin e konkurrencës brenda tregut të brendshëm nuk përbëjnë një kufizim të ndjeshëm të konkurrencës.</w:t>
            </w:r>
          </w:p>
        </w:tc>
        <w:tc>
          <w:tcPr>
            <w:tcW w:w="2835" w:type="dxa"/>
          </w:tcPr>
          <w:p w14:paraId="4C03526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Udhëzim Administrativ Nr. 05/2012 për Kriteret dhe Kushtet për Përcaktimin e Marrëveshjeve me Vlerë të Vogël.</w:t>
            </w:r>
          </w:p>
          <w:p w14:paraId="367D8CDE"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5B1241CD" w14:textId="77777777" w:rsidTr="001C7171">
        <w:tc>
          <w:tcPr>
            <w:tcW w:w="557" w:type="dxa"/>
          </w:tcPr>
          <w:p w14:paraId="3DE7BA3E"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9</w:t>
            </w:r>
          </w:p>
        </w:tc>
        <w:tc>
          <w:tcPr>
            <w:tcW w:w="2997" w:type="dxa"/>
          </w:tcPr>
          <w:p w14:paraId="7DE0A4FA" w14:textId="615955F9"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Rregullorja e Komisionit (BE) 330/2010 e datës 20 prill 2010 mbi zbatimin e nenit 101 (3) të Traktatit për Funksionimin e Bashkimit </w:t>
            </w:r>
            <w:r w:rsidR="00DC2051">
              <w:rPr>
                <w:rFonts w:ascii="Times New Roman" w:hAnsi="Times New Roman" w:cs="Times New Roman"/>
                <w:sz w:val="24"/>
                <w:szCs w:val="24"/>
              </w:rPr>
              <w:t>Evropian</w:t>
            </w:r>
            <w:r w:rsidRPr="005B54DA">
              <w:rPr>
                <w:rFonts w:ascii="Times New Roman" w:hAnsi="Times New Roman" w:cs="Times New Roman"/>
                <w:sz w:val="24"/>
                <w:szCs w:val="24"/>
              </w:rPr>
              <w:t xml:space="preserve"> në kategoritë e marrëveshjeve vertikale dhe praktikave të </w:t>
            </w:r>
            <w:r w:rsidRPr="005B54DA">
              <w:rPr>
                <w:rFonts w:ascii="Times New Roman" w:hAnsi="Times New Roman" w:cs="Times New Roman"/>
                <w:sz w:val="24"/>
                <w:szCs w:val="24"/>
              </w:rPr>
              <w:lastRenderedPageBreak/>
              <w:t>bashkërenduara (OJ L 102, 23.04.2010, f. 1-7)</w:t>
            </w:r>
            <w:r w:rsidRPr="005B54DA">
              <w:rPr>
                <w:rStyle w:val="FootnoteReference"/>
                <w:rFonts w:ascii="Times New Roman" w:hAnsi="Times New Roman" w:cs="Times New Roman"/>
                <w:sz w:val="24"/>
                <w:szCs w:val="24"/>
              </w:rPr>
              <w:footnoteReference w:id="12"/>
            </w:r>
          </w:p>
        </w:tc>
        <w:tc>
          <w:tcPr>
            <w:tcW w:w="3402" w:type="dxa"/>
          </w:tcPr>
          <w:p w14:paraId="2E25FD76"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 xml:space="preserve">Rregullorja përcakton kategoritë e marrëveshjeve vertikale dhe praktikave të bashkërenduara të cilat mund të konsiderohen se normalisht plotësojnë kushtet e përcaktuara në nenin 101 (3) të Traktatit, pasi që disa lloje të marrëveshjeve vertikale mund të </w:t>
            </w:r>
            <w:r w:rsidRPr="005B54DA">
              <w:rPr>
                <w:rFonts w:ascii="Times New Roman" w:hAnsi="Times New Roman" w:cs="Times New Roman"/>
                <w:sz w:val="24"/>
                <w:szCs w:val="24"/>
              </w:rPr>
              <w:lastRenderedPageBreak/>
              <w:t>përmirësojnë efikasitetin ekonomik brenda një zinxhiri prodhimi ose shpërndarjeje duke lehtësuar më mirë koordinimi midis ndërmarrjeve pjesëmarrëse</w:t>
            </w:r>
          </w:p>
        </w:tc>
        <w:tc>
          <w:tcPr>
            <w:tcW w:w="2835" w:type="dxa"/>
          </w:tcPr>
          <w:p w14:paraId="02796E6A" w14:textId="3B442AC4"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Udhëzim Administrativ Nr. 03/2017 për Përjashtimet Grupo</w:t>
            </w:r>
            <w:r w:rsidR="004048F5">
              <w:rPr>
                <w:rFonts w:ascii="Times New Roman" w:hAnsi="Times New Roman" w:cs="Times New Roman"/>
                <w:sz w:val="24"/>
                <w:szCs w:val="24"/>
              </w:rPr>
              <w:t>re</w:t>
            </w:r>
            <w:r w:rsidRPr="005B54DA">
              <w:rPr>
                <w:rFonts w:ascii="Times New Roman" w:hAnsi="Times New Roman" w:cs="Times New Roman"/>
                <w:sz w:val="24"/>
                <w:szCs w:val="24"/>
              </w:rPr>
              <w:t xml:space="preserve"> të Marrëveshjeve Vertikale ndërmjet Ndërmarrësve.</w:t>
            </w:r>
          </w:p>
          <w:p w14:paraId="078D841F"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 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1F53FBA7" w14:textId="77777777" w:rsidTr="001C7171">
        <w:tc>
          <w:tcPr>
            <w:tcW w:w="557" w:type="dxa"/>
          </w:tcPr>
          <w:p w14:paraId="66732A35"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10</w:t>
            </w:r>
          </w:p>
        </w:tc>
        <w:tc>
          <w:tcPr>
            <w:tcW w:w="2997" w:type="dxa"/>
          </w:tcPr>
          <w:p w14:paraId="6B270E84"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Rregullorja e Komisionit (BE) Nr. 461/2010 e 27 majit 2010 mbi zbatimin e nenit 101 (3) të Traktatit për Funksionimin e Bashkimit Evropian në kategoritë e marrëveshjeve vertikale dhe praktikave të bashkërenduara në sektorin e automjeteve motorike (OJ L 129, 28.05.2010, f. 52-57)</w:t>
            </w:r>
            <w:r w:rsidRPr="005B54DA">
              <w:rPr>
                <w:rStyle w:val="FootnoteReference"/>
                <w:rFonts w:ascii="Times New Roman" w:hAnsi="Times New Roman" w:cs="Times New Roman"/>
                <w:sz w:val="24"/>
                <w:szCs w:val="24"/>
              </w:rPr>
              <w:footnoteReference w:id="13"/>
            </w:r>
          </w:p>
          <w:p w14:paraId="5464C0EF"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384A68B7"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Ky përjashtim nga grupi i sektorit përfshin marrëveshjet vertikale për blerjen, shitjen ose rishitjen e automjeteve të reja, marrëveshjet vertikale për blerjen, shitjen ose rishitjen e pjesëve rezervë për mjetet motorike dhe marrëveshjet vertikale për ofrimin e shërbimeve të riparimit dhe mirëmbajtjes për këto automjete, kur këto marrëveshje janë lidhur midis ndërmarrjeve jo-konkurruese, midis konkurrentëve të caktuar ose disa shoqatave të shitësve me pakicë ose riparuesish.</w:t>
            </w:r>
          </w:p>
        </w:tc>
        <w:tc>
          <w:tcPr>
            <w:tcW w:w="2835" w:type="dxa"/>
          </w:tcPr>
          <w:p w14:paraId="19A010CB" w14:textId="41297DF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Udhëzim Administrativ Nr. 06/2017 për Përjashtimet Grupore të Marrëveshjeve për </w:t>
            </w:r>
            <w:proofErr w:type="spellStart"/>
            <w:r w:rsidRPr="005B54DA">
              <w:rPr>
                <w:rFonts w:ascii="Times New Roman" w:hAnsi="Times New Roman" w:cs="Times New Roman"/>
                <w:sz w:val="24"/>
                <w:szCs w:val="24"/>
              </w:rPr>
              <w:t>Distribuimin</w:t>
            </w:r>
            <w:proofErr w:type="spellEnd"/>
            <w:r w:rsidRPr="005B54DA">
              <w:rPr>
                <w:rFonts w:ascii="Times New Roman" w:hAnsi="Times New Roman" w:cs="Times New Roman"/>
                <w:sz w:val="24"/>
                <w:szCs w:val="24"/>
              </w:rPr>
              <w:t xml:space="preserve"> dhe </w:t>
            </w:r>
            <w:proofErr w:type="spellStart"/>
            <w:r w:rsidR="00850ABA">
              <w:t>Servisimin</w:t>
            </w:r>
            <w:proofErr w:type="spellEnd"/>
            <w:r w:rsidR="0071506C" w:rsidRPr="005B54DA">
              <w:rPr>
                <w:rFonts w:ascii="Times New Roman" w:hAnsi="Times New Roman" w:cs="Times New Roman"/>
                <w:sz w:val="24"/>
                <w:szCs w:val="24"/>
              </w:rPr>
              <w:t xml:space="preserve"> </w:t>
            </w:r>
            <w:r w:rsidRPr="005B54DA">
              <w:rPr>
                <w:rFonts w:ascii="Times New Roman" w:hAnsi="Times New Roman" w:cs="Times New Roman"/>
                <w:sz w:val="24"/>
                <w:szCs w:val="24"/>
              </w:rPr>
              <w:t>e Automjeteve Motorike.</w:t>
            </w:r>
          </w:p>
          <w:p w14:paraId="2CB10D32"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796DAE9A" w14:textId="77777777" w:rsidTr="001C7171">
        <w:tc>
          <w:tcPr>
            <w:tcW w:w="557" w:type="dxa"/>
          </w:tcPr>
          <w:p w14:paraId="73E9E9E4"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11</w:t>
            </w:r>
          </w:p>
        </w:tc>
        <w:tc>
          <w:tcPr>
            <w:tcW w:w="2997" w:type="dxa"/>
          </w:tcPr>
          <w:p w14:paraId="6FBEC0D1"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Udhëzime mbi </w:t>
            </w:r>
            <w:proofErr w:type="spellStart"/>
            <w:r w:rsidRPr="005B54DA">
              <w:rPr>
                <w:rFonts w:ascii="Times New Roman" w:hAnsi="Times New Roman" w:cs="Times New Roman"/>
                <w:sz w:val="24"/>
                <w:szCs w:val="24"/>
              </w:rPr>
              <w:t>zbatueshmërinë</w:t>
            </w:r>
            <w:proofErr w:type="spellEnd"/>
            <w:r w:rsidRPr="005B54DA">
              <w:rPr>
                <w:rFonts w:ascii="Times New Roman" w:hAnsi="Times New Roman" w:cs="Times New Roman"/>
                <w:sz w:val="24"/>
                <w:szCs w:val="24"/>
              </w:rPr>
              <w:t xml:space="preserve"> e nenit 101 të Traktatit për Funksionimin e Bashkimit Evropian në marrëveshjet e bashkëpunimit horizontal (OJ C 11, 14.01.2011, f. 1-72)</w:t>
            </w:r>
            <w:r w:rsidRPr="005B54DA">
              <w:rPr>
                <w:rStyle w:val="FootnoteReference"/>
                <w:rFonts w:ascii="Times New Roman" w:hAnsi="Times New Roman" w:cs="Times New Roman"/>
                <w:sz w:val="24"/>
                <w:szCs w:val="24"/>
              </w:rPr>
              <w:footnoteReference w:id="14"/>
            </w:r>
          </w:p>
          <w:p w14:paraId="03F80ED6"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5E5DD36D" w14:textId="77777777"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lastRenderedPageBreak/>
              <w:t xml:space="preserve">Përcakton parimet për vlerësim sipas nenit 101 të TFBE-së të marrëveshjeve midis ndërmarrjeve, vendimeve të shoqatave të ndërmarrjeve dhe praktikave të përbashkëta që kanë të bëjnë me bashkëpunimin horizontal. Bashkëpunimi është i një "natyre horizontale" në qoftë </w:t>
            </w:r>
            <w:r w:rsidRPr="005B54DA">
              <w:rPr>
                <w:rFonts w:ascii="Times New Roman" w:hAnsi="Times New Roman" w:cs="Times New Roman"/>
                <w:sz w:val="24"/>
                <w:szCs w:val="24"/>
                <w:lang w:eastAsia="zh-CN"/>
              </w:rPr>
              <w:lastRenderedPageBreak/>
              <w:t>se lidhet një marrëveshje ndërmjet konkurrentëve aktual ose potencialë. Përveç kësaj, këto udhëzime gjithashtu mbulojnë marrëveshjet horizontale të bashkëpunimit midis jo-konkurrentëve, për shembull, midis dy kompanive që veprojnë në tregjet e njëjta produkti, por në tregje të ndryshme gjeografike pa qenë konkurrentë të mundshëm.</w:t>
            </w:r>
          </w:p>
        </w:tc>
        <w:tc>
          <w:tcPr>
            <w:tcW w:w="2835" w:type="dxa"/>
          </w:tcPr>
          <w:p w14:paraId="5084D277"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Udhëzim Administrativ Nr. 02/2017 për Përjashtimet Grupor</w:t>
            </w:r>
            <w:r w:rsidR="0071506C" w:rsidRPr="005B54DA">
              <w:rPr>
                <w:rFonts w:ascii="Times New Roman" w:hAnsi="Times New Roman" w:cs="Times New Roman"/>
                <w:sz w:val="24"/>
                <w:szCs w:val="24"/>
              </w:rPr>
              <w:t>e</w:t>
            </w:r>
            <w:r w:rsidRPr="005B54DA">
              <w:rPr>
                <w:rFonts w:ascii="Times New Roman" w:hAnsi="Times New Roman" w:cs="Times New Roman"/>
                <w:sz w:val="24"/>
                <w:szCs w:val="24"/>
              </w:rPr>
              <w:t xml:space="preserve"> për Marrëveshjeve Horizontale ndërmjet ndërmarrësve.</w:t>
            </w:r>
          </w:p>
          <w:p w14:paraId="128AFF37"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sz w:val="24"/>
                <w:szCs w:val="24"/>
              </w:rPr>
              <w:t xml:space="preserve"> </w:t>
            </w: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3EEF9EA6" w14:textId="77777777" w:rsidTr="001C7171">
        <w:tc>
          <w:tcPr>
            <w:tcW w:w="557" w:type="dxa"/>
          </w:tcPr>
          <w:p w14:paraId="7FD0510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12</w:t>
            </w:r>
          </w:p>
        </w:tc>
        <w:tc>
          <w:tcPr>
            <w:tcW w:w="2997" w:type="dxa"/>
          </w:tcPr>
          <w:p w14:paraId="75C1D9A7" w14:textId="6FD2419F"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Rregullorja e Komisionit (BE) Nr. 267/2010 e 24 marsit 2010 mbi zbatimin e nenit 101 (3) të Traktatit për Funksionimin e Bashkimit E</w:t>
            </w:r>
            <w:r w:rsidR="003D12A4">
              <w:rPr>
                <w:rFonts w:ascii="Times New Roman" w:hAnsi="Times New Roman" w:cs="Times New Roman"/>
                <w:sz w:val="24"/>
                <w:szCs w:val="24"/>
              </w:rPr>
              <w:t>v</w:t>
            </w:r>
            <w:r w:rsidRPr="005B54DA">
              <w:rPr>
                <w:rFonts w:ascii="Times New Roman" w:hAnsi="Times New Roman" w:cs="Times New Roman"/>
                <w:sz w:val="24"/>
                <w:szCs w:val="24"/>
              </w:rPr>
              <w:t>ropian në disa kategori të marrëveshjeve, vendimeve dhe praktikave të bashkërenduara në sektorin e sigurimeve (OJ L 83, 30.03.2010, f. 1-7)</w:t>
            </w:r>
            <w:r w:rsidRPr="005B54DA">
              <w:rPr>
                <w:rStyle w:val="FootnoteReference"/>
                <w:rFonts w:ascii="Times New Roman" w:hAnsi="Times New Roman" w:cs="Times New Roman"/>
                <w:sz w:val="24"/>
                <w:szCs w:val="24"/>
              </w:rPr>
              <w:footnoteReference w:id="15"/>
            </w:r>
          </w:p>
          <w:p w14:paraId="28C7C099"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12347AD6" w14:textId="702C693E"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t xml:space="preserve">Aplikimi i nenit 101 (3) të TFBE për kategori të caktuara të marrëveshjeve, vendimeve dhe praktikave të bashkërenduara në sektorin e sigurimeve të cilat kanë si objekt bashkëpunimin në lidhje me: vendosjen e tarifave të </w:t>
            </w:r>
            <w:r w:rsidRPr="000C25D9">
              <w:rPr>
                <w:rFonts w:ascii="Times New Roman" w:hAnsi="Times New Roman" w:cs="Times New Roman"/>
                <w:color w:val="000000" w:themeColor="text1"/>
                <w:sz w:val="24"/>
                <w:szCs w:val="24"/>
                <w:lang w:eastAsia="zh-CN"/>
              </w:rPr>
              <w:t xml:space="preserve">përbashkëta të </w:t>
            </w:r>
            <w:proofErr w:type="spellStart"/>
            <w:r w:rsidRPr="000C25D9">
              <w:rPr>
                <w:rFonts w:ascii="Times New Roman" w:hAnsi="Times New Roman" w:cs="Times New Roman"/>
                <w:color w:val="000000" w:themeColor="text1"/>
                <w:sz w:val="24"/>
                <w:szCs w:val="24"/>
                <w:lang w:eastAsia="zh-CN"/>
              </w:rPr>
              <w:t>primit</w:t>
            </w:r>
            <w:proofErr w:type="spellEnd"/>
            <w:r w:rsidRPr="000C25D9">
              <w:rPr>
                <w:rFonts w:ascii="Times New Roman" w:hAnsi="Times New Roman" w:cs="Times New Roman"/>
                <w:color w:val="000000" w:themeColor="text1"/>
                <w:sz w:val="24"/>
                <w:szCs w:val="24"/>
                <w:lang w:eastAsia="zh-CN"/>
              </w:rPr>
              <w:t xml:space="preserve"> të rrezikut bazuar në statistik</w:t>
            </w:r>
            <w:r w:rsidRPr="005B54DA">
              <w:rPr>
                <w:rFonts w:ascii="Times New Roman" w:hAnsi="Times New Roman" w:cs="Times New Roman"/>
                <w:sz w:val="24"/>
                <w:szCs w:val="24"/>
                <w:lang w:eastAsia="zh-CN"/>
              </w:rPr>
              <w:t>at kolektive të konstatuara ose numrin e kërkesave; krijimin e kushteve të përbashkëta të politikave standard; mbulimin e përbashkët të llojeve të caktuara të rreziqeve; zgjidhjen e kërkesave; testimin dhe pranimin e pajisjeve të sigurisë; regjistrat dhe informatat për rreziqet e rënda.</w:t>
            </w:r>
          </w:p>
        </w:tc>
        <w:tc>
          <w:tcPr>
            <w:tcW w:w="2835" w:type="dxa"/>
          </w:tcPr>
          <w:p w14:paraId="025921A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Udhëzim Administrativ Nr. 05/2017 për Përjashtimet Grupore në Sektorin e Sigurimeve.</w:t>
            </w:r>
          </w:p>
          <w:p w14:paraId="306C1F0A"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2D0A6085" w14:textId="77777777" w:rsidTr="001C7171">
        <w:tc>
          <w:tcPr>
            <w:tcW w:w="557" w:type="dxa"/>
          </w:tcPr>
          <w:p w14:paraId="09A612E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13</w:t>
            </w:r>
          </w:p>
        </w:tc>
        <w:tc>
          <w:tcPr>
            <w:tcW w:w="2997" w:type="dxa"/>
          </w:tcPr>
          <w:p w14:paraId="432F3401"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Rregullorja e Këshillit (KE) Nr. 169/2009 e datës 26 shkurt 2009 që zbaton rregullat e konkurrencës për transportin hekurudhor, rrugor dhe  të brendshëm </w:t>
            </w:r>
            <w:r w:rsidRPr="005B54DA">
              <w:rPr>
                <w:rFonts w:ascii="Times New Roman" w:hAnsi="Times New Roman" w:cs="Times New Roman"/>
                <w:sz w:val="24"/>
                <w:szCs w:val="24"/>
              </w:rPr>
              <w:lastRenderedPageBreak/>
              <w:t>ujor (OJ L 61, 5.03.2009, f. 1)</w:t>
            </w:r>
            <w:r w:rsidRPr="005B54DA">
              <w:rPr>
                <w:rStyle w:val="FootnoteReference"/>
                <w:rFonts w:ascii="Times New Roman" w:hAnsi="Times New Roman" w:cs="Times New Roman"/>
                <w:sz w:val="24"/>
                <w:szCs w:val="24"/>
              </w:rPr>
              <w:footnoteReference w:id="16"/>
            </w:r>
          </w:p>
          <w:p w14:paraId="04EAE448"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4244506F" w14:textId="77777777"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lastRenderedPageBreak/>
              <w:t xml:space="preserve">Jep shpjegime se cilat lloje të marrëveshjeve, vendimeve dhe praktikave të bashkërenduara në sektorin e transportit janë të përjashtuara nga zbatimi i nenit 101 (1) TFBE. Ato nuk janë të </w:t>
            </w:r>
            <w:r w:rsidRPr="005B54DA">
              <w:rPr>
                <w:rFonts w:ascii="Times New Roman" w:hAnsi="Times New Roman" w:cs="Times New Roman"/>
                <w:sz w:val="24"/>
                <w:szCs w:val="24"/>
                <w:lang w:eastAsia="zh-CN"/>
              </w:rPr>
              <w:lastRenderedPageBreak/>
              <w:t>ndaluara vetëm kur objekti dhe efekti i këtyre praktikave është zbatimi i përmirësimeve teknike ose arritja e bashkëpunimit teknik, ato nuk janë të ndaluara pasi ato kontribuojnë në përmirësimin e produktivitetit.</w:t>
            </w:r>
          </w:p>
        </w:tc>
        <w:tc>
          <w:tcPr>
            <w:tcW w:w="2835" w:type="dxa"/>
          </w:tcPr>
          <w:p w14:paraId="51CE8798"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sz w:val="24"/>
                <w:szCs w:val="24"/>
              </w:rPr>
              <w:lastRenderedPageBreak/>
              <w:t>Udhëzim Administrativ Nr. 04/2017 për Përjashtimet Grupore të Marrëveshjeve në sektorin e Transportit.</w:t>
            </w:r>
          </w:p>
          <w:p w14:paraId="7B34A0D1"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i/>
                <w:sz w:val="24"/>
                <w:szCs w:val="24"/>
              </w:rPr>
              <w:lastRenderedPageBreak/>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2AF156EB" w14:textId="77777777" w:rsidTr="001C7171">
        <w:tc>
          <w:tcPr>
            <w:tcW w:w="557" w:type="dxa"/>
          </w:tcPr>
          <w:p w14:paraId="0225AC0E"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14</w:t>
            </w:r>
          </w:p>
        </w:tc>
        <w:tc>
          <w:tcPr>
            <w:tcW w:w="2997" w:type="dxa"/>
          </w:tcPr>
          <w:p w14:paraId="7A46517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Rregullorja e Këshillit (KE) Nr. 139/2004 e datës 20 janar 2004 mbi kontrollin e përqendrimeve ndërmjet ndërmarrjeve (Rregullorja e BE-së për Përqendrimet) (OJ L 24, 29.01.2004, f. 1-22), ndryshuar me Rregulloren e zbatuese të Komisionit Nr. 1269/2013</w:t>
            </w:r>
            <w:r w:rsidRPr="005B54DA">
              <w:rPr>
                <w:rStyle w:val="FootnoteReference"/>
                <w:rFonts w:ascii="Times New Roman" w:hAnsi="Times New Roman" w:cs="Times New Roman"/>
                <w:sz w:val="24"/>
                <w:szCs w:val="24"/>
              </w:rPr>
              <w:footnoteReference w:id="17"/>
            </w:r>
          </w:p>
          <w:p w14:paraId="76B09E98"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70C125ED" w14:textId="7513FF24"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t xml:space="preserve">Lejon kontroll efektiv të </w:t>
            </w:r>
            <w:proofErr w:type="spellStart"/>
            <w:r w:rsidRPr="005B54DA">
              <w:rPr>
                <w:rFonts w:ascii="Times New Roman" w:hAnsi="Times New Roman" w:cs="Times New Roman"/>
                <w:sz w:val="24"/>
                <w:szCs w:val="24"/>
                <w:lang w:eastAsia="zh-CN"/>
              </w:rPr>
              <w:t>të</w:t>
            </w:r>
            <w:proofErr w:type="spellEnd"/>
            <w:r w:rsidRPr="005B54DA">
              <w:rPr>
                <w:rFonts w:ascii="Times New Roman" w:hAnsi="Times New Roman" w:cs="Times New Roman"/>
                <w:sz w:val="24"/>
                <w:szCs w:val="24"/>
                <w:lang w:eastAsia="zh-CN"/>
              </w:rPr>
              <w:t xml:space="preserve"> gjitha përqendrimeve në kuptim të efektit të tyre në strukturën e konkurrencës në Komunitet dhe të jetë i vetmi instrument i zbatueshëm</w:t>
            </w:r>
            <w:r w:rsidR="00F125BD">
              <w:rPr>
                <w:rFonts w:ascii="Times New Roman" w:hAnsi="Times New Roman" w:cs="Times New Roman"/>
                <w:sz w:val="24"/>
                <w:szCs w:val="24"/>
                <w:lang w:eastAsia="zh-CN"/>
              </w:rPr>
              <w:t xml:space="preserve"> </w:t>
            </w:r>
            <w:r w:rsidRPr="005B54DA">
              <w:rPr>
                <w:rFonts w:ascii="Times New Roman" w:hAnsi="Times New Roman" w:cs="Times New Roman"/>
                <w:sz w:val="24"/>
                <w:szCs w:val="24"/>
                <w:lang w:eastAsia="zh-CN"/>
              </w:rPr>
              <w:t xml:space="preserve">për </w:t>
            </w:r>
            <w:r w:rsidR="003D12A4" w:rsidRPr="003D12A4">
              <w:rPr>
                <w:rFonts w:ascii="Times New Roman" w:hAnsi="Times New Roman" w:cs="Times New Roman"/>
                <w:sz w:val="24"/>
                <w:szCs w:val="24"/>
                <w:lang w:eastAsia="zh-CN"/>
              </w:rPr>
              <w:t>përqendrime</w:t>
            </w:r>
            <w:r w:rsidRPr="005B54DA">
              <w:rPr>
                <w:rFonts w:ascii="Times New Roman" w:hAnsi="Times New Roman" w:cs="Times New Roman"/>
                <w:sz w:val="24"/>
                <w:szCs w:val="24"/>
                <w:lang w:eastAsia="zh-CN"/>
              </w:rPr>
              <w:t xml:space="preserve"> të tilla. Kontrollohet sipas zonës gjeografike të veprimtarisë së ndërmarrjeve në fjalë dhe kufizohet me kufijtë sasiorë për të mbuluar ato përqendrime që kanë një dimension të mjaftueshëm për të shtrembëruar konkurrencën.</w:t>
            </w:r>
          </w:p>
        </w:tc>
        <w:tc>
          <w:tcPr>
            <w:tcW w:w="2835" w:type="dxa"/>
          </w:tcPr>
          <w:p w14:paraId="3CD8E6EA"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 xml:space="preserve">Ligji Nr. 03/L-229 për Mbrojtjen e Konkurrencës, 2010; </w:t>
            </w:r>
          </w:p>
          <w:p w14:paraId="681F758C"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 2014;</w:t>
            </w:r>
          </w:p>
          <w:p w14:paraId="19ED7432"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Udhëzim Administrativ Nr. 06/2012 për mënyrën e paraqitjes së Kërkesës dhe Kriteret për Konstatimin e Përqendrimit të Ndërmarrjeve.</w:t>
            </w:r>
          </w:p>
          <w:p w14:paraId="458F7110"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sz w:val="24"/>
                <w:szCs w:val="24"/>
              </w:rPr>
              <w:t xml:space="preserve"> </w:t>
            </w: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r w:rsidR="001622C0" w:rsidRPr="009C77F2" w14:paraId="1381575A" w14:textId="77777777" w:rsidTr="001C7171">
        <w:tc>
          <w:tcPr>
            <w:tcW w:w="557" w:type="dxa"/>
          </w:tcPr>
          <w:p w14:paraId="07A042A0"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15</w:t>
            </w:r>
          </w:p>
        </w:tc>
        <w:tc>
          <w:tcPr>
            <w:tcW w:w="2997" w:type="dxa"/>
          </w:tcPr>
          <w:p w14:paraId="2A28B204" w14:textId="766567C2"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Rregullorja e Komisionit (KE) Nr. 802/2004 e 21 prillit 2004 që zbaton Rregulloren e Këshillit (EC) Nr</w:t>
            </w:r>
            <w:r w:rsidR="00DC2051">
              <w:rPr>
                <w:rFonts w:ascii="Times New Roman" w:hAnsi="Times New Roman" w:cs="Times New Roman"/>
                <w:sz w:val="24"/>
                <w:szCs w:val="24"/>
              </w:rPr>
              <w:t>.</w:t>
            </w:r>
            <w:r w:rsidRPr="005B54DA">
              <w:rPr>
                <w:rFonts w:ascii="Times New Roman" w:hAnsi="Times New Roman" w:cs="Times New Roman"/>
                <w:sz w:val="24"/>
                <w:szCs w:val="24"/>
              </w:rPr>
              <w:t xml:space="preserve"> 139/2004 të datës 20 janar 2004 mbi kontrollin e përqendrimeve ndërmjet ndërmarrjeve (OJ L 133, 30.04.2004, f. 1-39) </w:t>
            </w:r>
            <w:r w:rsidRPr="005B54DA">
              <w:rPr>
                <w:rFonts w:ascii="Times New Roman" w:hAnsi="Times New Roman" w:cs="Times New Roman"/>
                <w:sz w:val="24"/>
                <w:szCs w:val="24"/>
              </w:rPr>
              <w:lastRenderedPageBreak/>
              <w:t>ndryshuar me Rregulloren nr. 1348/2015.</w:t>
            </w:r>
            <w:r w:rsidRPr="005B54DA">
              <w:rPr>
                <w:rStyle w:val="FootnoteReference"/>
                <w:rFonts w:ascii="Times New Roman" w:hAnsi="Times New Roman" w:cs="Times New Roman"/>
                <w:sz w:val="24"/>
                <w:szCs w:val="24"/>
              </w:rPr>
              <w:footnoteReference w:id="18"/>
            </w:r>
          </w:p>
          <w:p w14:paraId="76421EA3" w14:textId="77777777" w:rsidR="001622C0" w:rsidRPr="005B54DA" w:rsidRDefault="001622C0" w:rsidP="001C7171">
            <w:pPr>
              <w:spacing w:before="120"/>
              <w:jc w:val="both"/>
              <w:rPr>
                <w:rFonts w:ascii="Times New Roman" w:hAnsi="Times New Roman" w:cs="Times New Roman"/>
                <w:i/>
                <w:sz w:val="24"/>
                <w:szCs w:val="24"/>
              </w:rPr>
            </w:pPr>
          </w:p>
        </w:tc>
        <w:tc>
          <w:tcPr>
            <w:tcW w:w="3402" w:type="dxa"/>
          </w:tcPr>
          <w:p w14:paraId="619E5597" w14:textId="77777777" w:rsidR="001622C0" w:rsidRPr="005B54DA" w:rsidRDefault="001622C0" w:rsidP="001C7171">
            <w:pPr>
              <w:spacing w:before="120"/>
              <w:jc w:val="both"/>
              <w:rPr>
                <w:rFonts w:ascii="Times New Roman" w:hAnsi="Times New Roman" w:cs="Times New Roman"/>
                <w:sz w:val="24"/>
                <w:szCs w:val="24"/>
                <w:lang w:eastAsia="zh-CN"/>
              </w:rPr>
            </w:pPr>
            <w:r w:rsidRPr="005B54DA">
              <w:rPr>
                <w:rFonts w:ascii="Times New Roman" w:hAnsi="Times New Roman" w:cs="Times New Roman"/>
                <w:sz w:val="24"/>
                <w:szCs w:val="24"/>
                <w:lang w:eastAsia="zh-CN"/>
              </w:rPr>
              <w:lastRenderedPageBreak/>
              <w:t xml:space="preserve">Për të thjeshtuar dhe përshpejtuar ekzaminimin e njoftimeve dhe të parashtresave të arsyetuara të bashkimeve, është e dëshirueshme të përshkruhen standarde të caktuara. Meqenëse njoftimi vë në lëvizje afatet ligjore sipas Rregullores (KE) Nr. 139/2004, </w:t>
            </w:r>
            <w:r w:rsidRPr="005B54DA">
              <w:rPr>
                <w:rFonts w:ascii="Times New Roman" w:hAnsi="Times New Roman" w:cs="Times New Roman"/>
                <w:sz w:val="24"/>
                <w:szCs w:val="24"/>
                <w:lang w:eastAsia="zh-CN"/>
              </w:rPr>
              <w:lastRenderedPageBreak/>
              <w:t>atëherë përcaktohen kushtet që rregullojnë afatet e tilla dhe koha kur ato hyjnë në fuqi. Rregullat përcaktohen në interes të sigurisë juridike për llogaritjen e afateve të parashikuara në Rregulloren (KE) Nr. 139/2004. Në veçanti, fillimi dhe mbarimi i periudhave kohore dhe rrethanat që pezullojnë funksionimin e këtyre periudhave përcaktohen në lidhje me kërkesat që rezultojnë nga korniza kohore jashtëzakonisht e ngushtë në dispozicion për procedurat.</w:t>
            </w:r>
          </w:p>
        </w:tc>
        <w:tc>
          <w:tcPr>
            <w:tcW w:w="2835" w:type="dxa"/>
          </w:tcPr>
          <w:p w14:paraId="12465DCC"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 xml:space="preserve">Ligji Nr. 03/L-229 për Mbrojtjen e Konkurrencës, 2010 </w:t>
            </w:r>
          </w:p>
          <w:p w14:paraId="308909B7"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t>Ligji Nr. 04/L-226 për ndryshimin dhe plotësimin e Ligjit Nr. 03/L-229 për Mbrojtjen e Konkurrencës, 2014;</w:t>
            </w:r>
          </w:p>
          <w:p w14:paraId="14468A93" w14:textId="77777777" w:rsidR="001622C0" w:rsidRPr="005B54DA" w:rsidRDefault="001622C0" w:rsidP="001C7171">
            <w:pPr>
              <w:spacing w:before="120"/>
              <w:jc w:val="both"/>
              <w:rPr>
                <w:rFonts w:ascii="Times New Roman" w:hAnsi="Times New Roman" w:cs="Times New Roman"/>
                <w:sz w:val="24"/>
                <w:szCs w:val="24"/>
              </w:rPr>
            </w:pPr>
            <w:r w:rsidRPr="005B54DA">
              <w:rPr>
                <w:rFonts w:ascii="Times New Roman" w:hAnsi="Times New Roman" w:cs="Times New Roman"/>
                <w:sz w:val="24"/>
                <w:szCs w:val="24"/>
              </w:rPr>
              <w:lastRenderedPageBreak/>
              <w:t>Udh</w:t>
            </w:r>
            <w:r w:rsidRPr="005B54DA">
              <w:rPr>
                <w:rFonts w:ascii="Times New Roman" w:hAnsi="Times New Roman" w:cs="Times New Roman"/>
                <w:sz w:val="24"/>
                <w:szCs w:val="24"/>
                <w:lang w:eastAsia="zh-CN"/>
              </w:rPr>
              <w:t xml:space="preserve">ëzim Administrativ </w:t>
            </w:r>
            <w:r w:rsidRPr="005B54DA">
              <w:rPr>
                <w:rFonts w:ascii="Times New Roman" w:hAnsi="Times New Roman" w:cs="Times New Roman"/>
                <w:sz w:val="24"/>
                <w:szCs w:val="24"/>
              </w:rPr>
              <w:t>Nr. 07/2012 mbi</w:t>
            </w:r>
            <w:r w:rsidRPr="005B54DA">
              <w:rPr>
                <w:rFonts w:ascii="Times New Roman" w:hAnsi="Times New Roman" w:cs="Times New Roman"/>
                <w:sz w:val="24"/>
                <w:szCs w:val="24"/>
                <w:lang w:eastAsia="zh-CN"/>
              </w:rPr>
              <w:t xml:space="preserve"> Kriteret për Lirimin ose Uljen e Masave Administrative. </w:t>
            </w:r>
          </w:p>
          <w:p w14:paraId="713EDBC0" w14:textId="77777777" w:rsidR="001622C0" w:rsidRPr="005B54DA" w:rsidRDefault="001622C0" w:rsidP="001C7171">
            <w:pPr>
              <w:spacing w:before="120"/>
              <w:jc w:val="both"/>
              <w:rPr>
                <w:rFonts w:ascii="Times New Roman" w:hAnsi="Times New Roman" w:cs="Times New Roman"/>
                <w:i/>
                <w:sz w:val="24"/>
                <w:szCs w:val="24"/>
              </w:rPr>
            </w:pPr>
            <w:r w:rsidRPr="005B54DA">
              <w:rPr>
                <w:rFonts w:ascii="Times New Roman" w:hAnsi="Times New Roman" w:cs="Times New Roman"/>
                <w:i/>
                <w:sz w:val="24"/>
                <w:szCs w:val="24"/>
              </w:rPr>
              <w:t xml:space="preserve">Pjesërisht e </w:t>
            </w:r>
            <w:proofErr w:type="spellStart"/>
            <w:r w:rsidRPr="005B54DA">
              <w:rPr>
                <w:rFonts w:ascii="Times New Roman" w:hAnsi="Times New Roman" w:cs="Times New Roman"/>
                <w:i/>
                <w:sz w:val="24"/>
                <w:szCs w:val="24"/>
              </w:rPr>
              <w:t>transpozuar</w:t>
            </w:r>
            <w:proofErr w:type="spellEnd"/>
            <w:r w:rsidRPr="005B54DA">
              <w:rPr>
                <w:rFonts w:ascii="Times New Roman" w:hAnsi="Times New Roman" w:cs="Times New Roman"/>
                <w:i/>
                <w:sz w:val="24"/>
                <w:szCs w:val="24"/>
              </w:rPr>
              <w:t>.</w:t>
            </w:r>
          </w:p>
        </w:tc>
      </w:tr>
    </w:tbl>
    <w:p w14:paraId="6400E23F" w14:textId="77777777" w:rsidR="001622C0" w:rsidRPr="000D3717" w:rsidRDefault="001622C0" w:rsidP="001622C0">
      <w:pPr>
        <w:jc w:val="both"/>
        <w:rPr>
          <w:rFonts w:ascii="Times New Roman" w:hAnsi="Times New Roman" w:cs="Times New Roman"/>
          <w:sz w:val="24"/>
          <w:szCs w:val="24"/>
        </w:rPr>
      </w:pPr>
    </w:p>
    <w:p w14:paraId="10F480D4" w14:textId="77777777" w:rsidR="001622C0" w:rsidRPr="000D3717" w:rsidRDefault="001622C0" w:rsidP="001622C0">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 xml:space="preserve">Raporti gjithashtu thekson tri akte të </w:t>
      </w:r>
      <w:proofErr w:type="spellStart"/>
      <w:r w:rsidRPr="000D3717">
        <w:rPr>
          <w:rFonts w:ascii="Times New Roman" w:hAnsi="Times New Roman" w:cs="Times New Roman"/>
          <w:i/>
          <w:sz w:val="24"/>
          <w:szCs w:val="24"/>
        </w:rPr>
        <w:t>acquis</w:t>
      </w:r>
      <w:proofErr w:type="spellEnd"/>
      <w:r w:rsidRPr="000D3717">
        <w:rPr>
          <w:rFonts w:ascii="Times New Roman" w:hAnsi="Times New Roman" w:cs="Times New Roman"/>
          <w:sz w:val="24"/>
          <w:szCs w:val="24"/>
        </w:rPr>
        <w:t xml:space="preserve"> të konkurrencës, të cilat në bazë të analizës nuk janë </w:t>
      </w:r>
      <w:proofErr w:type="spellStart"/>
      <w:r w:rsidRPr="000D3717">
        <w:rPr>
          <w:rFonts w:ascii="Times New Roman" w:hAnsi="Times New Roman" w:cs="Times New Roman"/>
          <w:sz w:val="24"/>
          <w:szCs w:val="24"/>
        </w:rPr>
        <w:t>transpozuar</w:t>
      </w:r>
      <w:proofErr w:type="spellEnd"/>
      <w:r w:rsidRPr="000D3717">
        <w:rPr>
          <w:rFonts w:ascii="Times New Roman" w:hAnsi="Times New Roman" w:cs="Times New Roman"/>
          <w:sz w:val="24"/>
          <w:szCs w:val="24"/>
        </w:rPr>
        <w:t xml:space="preserve"> ende dhe rekomandohet të </w:t>
      </w:r>
      <w:proofErr w:type="spellStart"/>
      <w:r w:rsidRPr="000D3717">
        <w:rPr>
          <w:rFonts w:ascii="Times New Roman" w:hAnsi="Times New Roman" w:cs="Times New Roman"/>
          <w:sz w:val="24"/>
          <w:szCs w:val="24"/>
        </w:rPr>
        <w:t>transpozohen</w:t>
      </w:r>
      <w:proofErr w:type="spellEnd"/>
      <w:r w:rsidRPr="000D3717">
        <w:rPr>
          <w:rFonts w:ascii="Times New Roman" w:hAnsi="Times New Roman" w:cs="Times New Roman"/>
          <w:sz w:val="24"/>
          <w:szCs w:val="24"/>
        </w:rPr>
        <w:t xml:space="preserve"> gjatë procesit të integrimit, në legjislacionin vendor. Këto akte janë:</w:t>
      </w:r>
    </w:p>
    <w:p w14:paraId="0EFEF4C0" w14:textId="1B30037D" w:rsidR="001622C0" w:rsidRPr="00B22DB1" w:rsidRDefault="001622C0" w:rsidP="001622C0">
      <w:pPr>
        <w:spacing w:after="200" w:line="360" w:lineRule="auto"/>
        <w:jc w:val="both"/>
        <w:rPr>
          <w:rFonts w:ascii="Times New Roman" w:hAnsi="Times New Roman" w:cs="Times New Roman"/>
          <w:sz w:val="24"/>
          <w:szCs w:val="24"/>
        </w:rPr>
      </w:pPr>
      <w:r w:rsidRPr="00B22DB1">
        <w:rPr>
          <w:rFonts w:ascii="Times New Roman" w:hAnsi="Times New Roman" w:cs="Times New Roman"/>
          <w:b/>
          <w:sz w:val="24"/>
          <w:szCs w:val="24"/>
        </w:rPr>
        <w:t xml:space="preserve">Rregullorja e Komisionit (BE) Nr. 316/2014 </w:t>
      </w:r>
      <w:r w:rsidRPr="00B22DB1">
        <w:rPr>
          <w:rFonts w:ascii="Times New Roman" w:hAnsi="Times New Roman" w:cs="Times New Roman"/>
          <w:sz w:val="24"/>
          <w:szCs w:val="24"/>
        </w:rPr>
        <w:t>e 21 marsit 2014 mbi zbatimin e nenit 101 (3) të Traktatit për Funksionimin e Bashkimit E</w:t>
      </w:r>
      <w:r w:rsidR="00DC2051">
        <w:rPr>
          <w:rFonts w:ascii="Times New Roman" w:hAnsi="Times New Roman" w:cs="Times New Roman"/>
          <w:sz w:val="24"/>
          <w:szCs w:val="24"/>
        </w:rPr>
        <w:t>v</w:t>
      </w:r>
      <w:r w:rsidRPr="00B22DB1">
        <w:rPr>
          <w:rFonts w:ascii="Times New Roman" w:hAnsi="Times New Roman" w:cs="Times New Roman"/>
          <w:sz w:val="24"/>
          <w:szCs w:val="24"/>
        </w:rPr>
        <w:t>ropian për kategoritë e marrëveshjeve të transferimit të teknologjisë (OJ L 93, 28.03.2014, f. 17-23)</w:t>
      </w:r>
      <w:r w:rsidRPr="000D3717">
        <w:rPr>
          <w:rStyle w:val="FootnoteReference"/>
          <w:rFonts w:ascii="Times New Roman" w:hAnsi="Times New Roman" w:cs="Times New Roman"/>
          <w:sz w:val="24"/>
          <w:szCs w:val="24"/>
          <w:lang w:val="en-GB"/>
        </w:rPr>
        <w:footnoteReference w:id="19"/>
      </w:r>
      <w:r w:rsidRPr="00B22DB1">
        <w:rPr>
          <w:rFonts w:ascii="Times New Roman" w:hAnsi="Times New Roman" w:cs="Times New Roman"/>
          <w:sz w:val="24"/>
          <w:szCs w:val="24"/>
        </w:rPr>
        <w:t>;</w:t>
      </w:r>
    </w:p>
    <w:p w14:paraId="660011E9" w14:textId="2B2F6AE0" w:rsidR="001622C0" w:rsidRPr="00B22DB1" w:rsidRDefault="001622C0" w:rsidP="001622C0">
      <w:pPr>
        <w:pStyle w:val="ListParagraph"/>
        <w:numPr>
          <w:ilvl w:val="0"/>
          <w:numId w:val="32"/>
        </w:numPr>
        <w:spacing w:after="200" w:line="360" w:lineRule="auto"/>
        <w:ind w:left="360"/>
        <w:jc w:val="both"/>
        <w:rPr>
          <w:rFonts w:ascii="Times New Roman" w:hAnsi="Times New Roman" w:cs="Times New Roman"/>
          <w:sz w:val="24"/>
          <w:szCs w:val="24"/>
        </w:rPr>
      </w:pPr>
      <w:r w:rsidRPr="00B22DB1">
        <w:rPr>
          <w:rFonts w:ascii="Times New Roman" w:hAnsi="Times New Roman" w:cs="Times New Roman"/>
          <w:sz w:val="24"/>
          <w:szCs w:val="24"/>
        </w:rPr>
        <w:t xml:space="preserve">Përjashton marrëveshjet e licencës në mes të kompanive që kanë fuqi të kufizuar në treg (p.sh. pjesa e tregut nën 20% për marrëveshjet midis konkurrentëve dhe 30% për marrëveshjet ndërmjet jo-konkurrentëve) dhe që përmbushin kushte të caktuara. Këto nuk konsiderohen të kenë efekte </w:t>
      </w:r>
      <w:proofErr w:type="spellStart"/>
      <w:r w:rsidRPr="00B22DB1">
        <w:rPr>
          <w:rFonts w:ascii="Times New Roman" w:hAnsi="Times New Roman" w:cs="Times New Roman"/>
          <w:sz w:val="24"/>
          <w:szCs w:val="24"/>
        </w:rPr>
        <w:t>anti</w:t>
      </w:r>
      <w:proofErr w:type="spellEnd"/>
      <w:r w:rsidRPr="00B22DB1">
        <w:rPr>
          <w:rFonts w:ascii="Times New Roman" w:hAnsi="Times New Roman" w:cs="Times New Roman"/>
          <w:sz w:val="24"/>
          <w:szCs w:val="24"/>
        </w:rPr>
        <w:t>-konkurruese ose nëse kanë, atëherë efektet pozitive i tejkalojnë ato negative dhe kështu nuk bien ndesh me rregullat</w:t>
      </w:r>
      <w:r w:rsidR="007F3D7F">
        <w:rPr>
          <w:rFonts w:ascii="Times New Roman" w:hAnsi="Times New Roman" w:cs="Times New Roman"/>
          <w:sz w:val="24"/>
          <w:szCs w:val="24"/>
        </w:rPr>
        <w:t xml:space="preserve"> e</w:t>
      </w:r>
      <w:r w:rsidRPr="00B22DB1">
        <w:rPr>
          <w:rFonts w:ascii="Times New Roman" w:hAnsi="Times New Roman" w:cs="Times New Roman"/>
          <w:sz w:val="24"/>
          <w:szCs w:val="24"/>
        </w:rPr>
        <w:t xml:space="preserve"> konkurrencës </w:t>
      </w:r>
      <w:r w:rsidR="007F3D7F">
        <w:rPr>
          <w:rFonts w:ascii="Times New Roman" w:hAnsi="Times New Roman" w:cs="Times New Roman"/>
          <w:sz w:val="24"/>
          <w:szCs w:val="24"/>
        </w:rPr>
        <w:t>s</w:t>
      </w:r>
      <w:r w:rsidRPr="00B22DB1">
        <w:rPr>
          <w:rFonts w:ascii="Times New Roman" w:hAnsi="Times New Roman" w:cs="Times New Roman"/>
          <w:sz w:val="24"/>
          <w:szCs w:val="24"/>
        </w:rPr>
        <w:t xml:space="preserve">ë BE-së. Rregullorja zbatohet vetëm për marrëveshjet për kërkim dhe zhvillim (R &amp; D) nëse nuk zbatohen rregulloret specifike të përjashtimit nga grupi për marrëveshjet e R &amp; D dhe mbi </w:t>
      </w:r>
      <w:r w:rsidRPr="00B22DB1">
        <w:rPr>
          <w:rFonts w:ascii="Times New Roman" w:hAnsi="Times New Roman" w:cs="Times New Roman"/>
          <w:sz w:val="24"/>
          <w:szCs w:val="24"/>
        </w:rPr>
        <w:lastRenderedPageBreak/>
        <w:t>marrëveshjet e specializimit. Zbatohet vetëm për marrëveshjet dypalëshe; udhëzimet gjithashtu mbulojnë grumbullimin (</w:t>
      </w:r>
      <w:proofErr w:type="spellStart"/>
      <w:r w:rsidRPr="00B22DB1">
        <w:rPr>
          <w:rFonts w:ascii="Times New Roman" w:hAnsi="Times New Roman" w:cs="Times New Roman"/>
          <w:sz w:val="24"/>
          <w:szCs w:val="24"/>
        </w:rPr>
        <w:t>pool</w:t>
      </w:r>
      <w:proofErr w:type="spellEnd"/>
      <w:r w:rsidRPr="00B22DB1">
        <w:rPr>
          <w:rFonts w:ascii="Times New Roman" w:hAnsi="Times New Roman" w:cs="Times New Roman"/>
          <w:sz w:val="24"/>
          <w:szCs w:val="24"/>
        </w:rPr>
        <w:t>) e patentave.</w:t>
      </w:r>
    </w:p>
    <w:p w14:paraId="2BBBFF46" w14:textId="1C028C2F" w:rsidR="001622C0" w:rsidRPr="000D3717" w:rsidRDefault="001622C0" w:rsidP="001622C0">
      <w:pPr>
        <w:spacing w:after="200" w:line="360" w:lineRule="auto"/>
        <w:jc w:val="both"/>
        <w:rPr>
          <w:rFonts w:ascii="Times New Roman" w:hAnsi="Times New Roman" w:cs="Times New Roman"/>
          <w:b/>
          <w:sz w:val="24"/>
          <w:szCs w:val="24"/>
          <w:lang w:eastAsia="pl-PL"/>
        </w:rPr>
      </w:pPr>
      <w:r w:rsidRPr="000D3717">
        <w:rPr>
          <w:rFonts w:ascii="Times New Roman" w:hAnsi="Times New Roman" w:cs="Times New Roman"/>
          <w:b/>
          <w:sz w:val="24"/>
          <w:szCs w:val="24"/>
          <w:lang w:eastAsia="pl-PL"/>
        </w:rPr>
        <w:t>Direktiva e BE-së 2014/104/BE</w:t>
      </w:r>
      <w:r w:rsidRPr="000D3717">
        <w:rPr>
          <w:rFonts w:ascii="Times New Roman" w:hAnsi="Times New Roman" w:cs="Times New Roman"/>
          <w:sz w:val="24"/>
          <w:szCs w:val="24"/>
          <w:lang w:eastAsia="pl-PL"/>
        </w:rPr>
        <w:t xml:space="preserve"> e Parlamentit E</w:t>
      </w:r>
      <w:r w:rsidR="00DC2051">
        <w:rPr>
          <w:rFonts w:ascii="Times New Roman" w:hAnsi="Times New Roman" w:cs="Times New Roman"/>
          <w:sz w:val="24"/>
          <w:szCs w:val="24"/>
          <w:lang w:eastAsia="pl-PL"/>
        </w:rPr>
        <w:t>v</w:t>
      </w:r>
      <w:r w:rsidRPr="000D3717">
        <w:rPr>
          <w:rFonts w:ascii="Times New Roman" w:hAnsi="Times New Roman" w:cs="Times New Roman"/>
          <w:sz w:val="24"/>
          <w:szCs w:val="24"/>
          <w:lang w:eastAsia="pl-PL"/>
        </w:rPr>
        <w:t>ropian dhe e Këshillit e datës 26 nëntor 2014 për rregulla të caktuara që rregullojnë veprimet për dëmet e ligjit kombëtar për shkeljet e dispozitave të ligjit të konkurrencës të Shteteve Anëtare dhe të Bashkimit Evropian (OJ L 349 , 5.12.2014</w:t>
      </w:r>
      <w:r w:rsidRPr="000D3717">
        <w:rPr>
          <w:rFonts w:ascii="Times New Roman" w:hAnsi="Times New Roman" w:cs="Times New Roman"/>
          <w:i/>
          <w:sz w:val="24"/>
          <w:szCs w:val="24"/>
          <w:lang w:eastAsia="pl-PL"/>
        </w:rPr>
        <w:t>.):</w:t>
      </w:r>
      <w:r w:rsidRPr="000D3717">
        <w:rPr>
          <w:rStyle w:val="FootnoteReference"/>
          <w:rFonts w:ascii="Times New Roman" w:hAnsi="Times New Roman" w:cs="Times New Roman"/>
          <w:i/>
          <w:sz w:val="24"/>
          <w:szCs w:val="24"/>
          <w:lang w:eastAsia="pl-PL"/>
        </w:rPr>
        <w:footnoteReference w:id="20"/>
      </w:r>
      <w:r w:rsidRPr="000D3717">
        <w:rPr>
          <w:rFonts w:ascii="Times New Roman" w:hAnsi="Times New Roman" w:cs="Times New Roman"/>
          <w:i/>
          <w:iCs/>
          <w:sz w:val="24"/>
          <w:szCs w:val="24"/>
        </w:rPr>
        <w:t xml:space="preserve"> </w:t>
      </w:r>
    </w:p>
    <w:p w14:paraId="663CDBEC" w14:textId="77777777" w:rsidR="001622C0" w:rsidRPr="000D3717" w:rsidRDefault="001622C0" w:rsidP="001622C0">
      <w:pPr>
        <w:pStyle w:val="ListParagraph"/>
        <w:numPr>
          <w:ilvl w:val="0"/>
          <w:numId w:val="31"/>
        </w:numPr>
        <w:spacing w:after="200" w:line="360" w:lineRule="auto"/>
        <w:ind w:left="360"/>
        <w:jc w:val="both"/>
        <w:rPr>
          <w:rFonts w:ascii="Times New Roman" w:hAnsi="Times New Roman" w:cs="Times New Roman"/>
          <w:sz w:val="24"/>
          <w:szCs w:val="24"/>
          <w:lang w:eastAsia="pl-PL"/>
        </w:rPr>
      </w:pPr>
      <w:r w:rsidRPr="000D3717">
        <w:rPr>
          <w:rFonts w:ascii="Times New Roman" w:hAnsi="Times New Roman" w:cs="Times New Roman"/>
          <w:sz w:val="24"/>
          <w:szCs w:val="24"/>
          <w:lang w:eastAsia="pl-PL"/>
        </w:rPr>
        <w:t xml:space="preserve">Kjo Direktivë përcakton rregulla të nevojshme për të siguruar që secili që ka pësuar dëmin e shkaktuar nga një shkelje e ligjit të konkurrencës nga një ndërmarrje ose nga një shoqatë sipërmarrjesh, në mënyrë efektive mund të ushtrojë të drejtën për të kërkuar kompensim të plotë për atë dëm nga ajo ndërmarrje ose shoqatë. Rregullorja përcakton rregullat që nxisin konkurrencën e pandërprerë në tregun e brendshëm dhe heqjen e pengesave për funksionimin e tij të duhur, duke siguruar mbrojtje ekuivalente në të gjithë </w:t>
      </w:r>
      <w:r w:rsidR="00C30F61">
        <w:rPr>
          <w:rFonts w:ascii="Times New Roman" w:hAnsi="Times New Roman" w:cs="Times New Roman"/>
          <w:sz w:val="24"/>
          <w:szCs w:val="24"/>
          <w:lang w:eastAsia="pl-PL"/>
        </w:rPr>
        <w:t>b</w:t>
      </w:r>
      <w:r w:rsidRPr="000D3717">
        <w:rPr>
          <w:rFonts w:ascii="Times New Roman" w:hAnsi="Times New Roman" w:cs="Times New Roman"/>
          <w:sz w:val="24"/>
          <w:szCs w:val="24"/>
          <w:lang w:eastAsia="pl-PL"/>
        </w:rPr>
        <w:t>ashkimin për të gjithë ata që kanë pësuar një dëm të tillë.</w:t>
      </w:r>
    </w:p>
    <w:p w14:paraId="47CDCF1D" w14:textId="77777777" w:rsidR="001622C0" w:rsidRPr="000D3717" w:rsidRDefault="001622C0" w:rsidP="001622C0">
      <w:pPr>
        <w:spacing w:after="200" w:line="360" w:lineRule="auto"/>
        <w:jc w:val="both"/>
        <w:rPr>
          <w:rFonts w:ascii="Times New Roman" w:hAnsi="Times New Roman" w:cs="Times New Roman"/>
          <w:i/>
          <w:sz w:val="24"/>
          <w:szCs w:val="24"/>
          <w:lang w:eastAsia="pl-PL"/>
        </w:rPr>
      </w:pPr>
      <w:r w:rsidRPr="000D3717">
        <w:rPr>
          <w:rFonts w:ascii="Times New Roman" w:hAnsi="Times New Roman" w:cs="Times New Roman"/>
          <w:b/>
          <w:sz w:val="24"/>
          <w:szCs w:val="24"/>
          <w:lang w:eastAsia="pl-PL"/>
        </w:rPr>
        <w:t>Propozim për një Direktivë për fuqizimin e autoriteteve të konkurrencës</w:t>
      </w:r>
      <w:r w:rsidRPr="000D3717">
        <w:rPr>
          <w:rFonts w:ascii="Times New Roman" w:hAnsi="Times New Roman" w:cs="Times New Roman"/>
          <w:sz w:val="24"/>
          <w:szCs w:val="24"/>
          <w:lang w:eastAsia="pl-PL"/>
        </w:rPr>
        <w:t xml:space="preserve"> të Shteteve Anëtare për të qenë zbatues më efektiv dhe për të siguruar funksionimin e duhur të tregut të brendshëm:</w:t>
      </w:r>
      <w:r w:rsidRPr="000D3717">
        <w:rPr>
          <w:rStyle w:val="FootnoteReference"/>
          <w:rFonts w:ascii="Times New Roman" w:hAnsi="Times New Roman" w:cs="Times New Roman"/>
          <w:sz w:val="24"/>
          <w:szCs w:val="24"/>
          <w:lang w:eastAsia="pl-PL"/>
        </w:rPr>
        <w:footnoteReference w:id="21"/>
      </w:r>
    </w:p>
    <w:p w14:paraId="3D8F7855" w14:textId="77777777" w:rsidR="001622C0" w:rsidRPr="000D3717" w:rsidRDefault="001622C0" w:rsidP="001622C0">
      <w:pPr>
        <w:pStyle w:val="ListParagraph"/>
        <w:numPr>
          <w:ilvl w:val="0"/>
          <w:numId w:val="31"/>
        </w:numPr>
        <w:spacing w:after="200" w:line="360" w:lineRule="auto"/>
        <w:ind w:left="360"/>
        <w:jc w:val="both"/>
        <w:rPr>
          <w:rFonts w:ascii="Times New Roman" w:hAnsi="Times New Roman" w:cs="Times New Roman"/>
          <w:sz w:val="24"/>
          <w:szCs w:val="24"/>
          <w:lang w:eastAsia="pl-PL"/>
        </w:rPr>
      </w:pPr>
      <w:r w:rsidRPr="000D3717">
        <w:rPr>
          <w:rFonts w:ascii="Times New Roman" w:hAnsi="Times New Roman" w:cs="Times New Roman"/>
          <w:sz w:val="24"/>
          <w:szCs w:val="24"/>
          <w:lang w:eastAsia="pl-PL"/>
        </w:rPr>
        <w:t xml:space="preserve">Më 22 mars 2017, Komisioni paraqiti një propozim për të fuqizuar autoritetet e konkurrencës së Shteteve Anëtare për të qenë zbatues më efektiv (ECN +). Propozimi synon të sigurojë që kur zbatohet baza e njëjtë ligjore - rregullat </w:t>
      </w:r>
      <w:proofErr w:type="spellStart"/>
      <w:r w:rsidRPr="000D3717">
        <w:rPr>
          <w:rFonts w:ascii="Times New Roman" w:hAnsi="Times New Roman" w:cs="Times New Roman"/>
          <w:sz w:val="24"/>
          <w:szCs w:val="24"/>
          <w:lang w:eastAsia="pl-PL"/>
        </w:rPr>
        <w:t>anti</w:t>
      </w:r>
      <w:proofErr w:type="spellEnd"/>
      <w:r w:rsidR="00C30F61">
        <w:rPr>
          <w:rFonts w:ascii="Times New Roman" w:hAnsi="Times New Roman" w:cs="Times New Roman"/>
          <w:sz w:val="24"/>
          <w:szCs w:val="24"/>
          <w:lang w:eastAsia="pl-PL"/>
        </w:rPr>
        <w:t>-</w:t>
      </w:r>
      <w:r w:rsidRPr="000D3717">
        <w:rPr>
          <w:rFonts w:ascii="Times New Roman" w:hAnsi="Times New Roman" w:cs="Times New Roman"/>
          <w:sz w:val="24"/>
          <w:szCs w:val="24"/>
          <w:lang w:eastAsia="pl-PL"/>
        </w:rPr>
        <w:t>trust të BE-së - autoritetet kombëtare të konkurrencës kanë mjetet e duhura të zbatimit me qëllim që të sjellin një fushë të vërtetë të zbatimit të konkurrencës së përbashkët. Për këtë qëllim, propozimi parashikon garanci dhe standarde minimale për të fuqizuar autoritetet kombëtare të konkurrencës për të arritur potencialin e tyre të plotë.</w:t>
      </w:r>
    </w:p>
    <w:p w14:paraId="440824D4" w14:textId="77777777" w:rsidR="001622C0" w:rsidRPr="000D3717" w:rsidRDefault="001622C0" w:rsidP="001622C0">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Raporti gjithashtu paraqet rekomandime specifike për ndryshime në legjislacionin primar dhe sekondar për mbrojtjen e Konkurrencës në mënyrë që të rritet niveli i</w:t>
      </w:r>
      <w:r w:rsidRPr="000D3717">
        <w:rPr>
          <w:rFonts w:ascii="Times New Roman" w:hAnsi="Times New Roman" w:cs="Times New Roman"/>
          <w:b/>
          <w:sz w:val="24"/>
          <w:szCs w:val="24"/>
        </w:rPr>
        <w:t xml:space="preserve"> </w:t>
      </w:r>
      <w:proofErr w:type="spellStart"/>
      <w:r w:rsidRPr="000D3717">
        <w:rPr>
          <w:rFonts w:ascii="Times New Roman" w:hAnsi="Times New Roman" w:cs="Times New Roman"/>
          <w:sz w:val="24"/>
          <w:szCs w:val="24"/>
        </w:rPr>
        <w:t>transpozimit</w:t>
      </w:r>
      <w:proofErr w:type="spellEnd"/>
      <w:r w:rsidRPr="000D3717">
        <w:rPr>
          <w:rFonts w:ascii="Times New Roman" w:hAnsi="Times New Roman" w:cs="Times New Roman"/>
          <w:sz w:val="24"/>
          <w:szCs w:val="24"/>
        </w:rPr>
        <w:t xml:space="preserve">. Të gjeturat e </w:t>
      </w:r>
      <w:r w:rsidRPr="000D3717">
        <w:rPr>
          <w:rFonts w:ascii="Times New Roman" w:hAnsi="Times New Roman" w:cs="Times New Roman"/>
          <w:sz w:val="24"/>
          <w:szCs w:val="24"/>
        </w:rPr>
        <w:lastRenderedPageBreak/>
        <w:t>Raportit janë konkretizuar në përkufizimin e problemit në këtë Kapitull dhe si rrjedhojë rekomandimet janë përfshirë në Opsionin 2 të Koncept Dokumentit - në formë të propozimeve për adresimin e shkaktarëve të problemit kryesor. Raporti sugjeron miratimin e Ligjit të ri për Konkurrencën, që është gjithashtu opsion i rekomanduar nga grupi punues.</w:t>
      </w:r>
    </w:p>
    <w:p w14:paraId="0779AB97" w14:textId="77777777" w:rsidR="00A22B1A" w:rsidRPr="000D3717" w:rsidRDefault="00A22B1A" w:rsidP="00695808">
      <w:pPr>
        <w:rPr>
          <w:rFonts w:ascii="Times New Roman" w:hAnsi="Times New Roman" w:cs="Times New Roman"/>
          <w:sz w:val="24"/>
          <w:szCs w:val="24"/>
        </w:rPr>
      </w:pPr>
      <w:r w:rsidRPr="000D3717">
        <w:rPr>
          <w:rFonts w:ascii="Times New Roman" w:hAnsi="Times New Roman" w:cs="Times New Roman"/>
          <w:sz w:val="24"/>
          <w:szCs w:val="24"/>
        </w:rPr>
        <w:t>Figur</w:t>
      </w:r>
      <w:r w:rsidR="00A33A00"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1622C0" w:rsidRPr="000D3717">
        <w:rPr>
          <w:rFonts w:ascii="Times New Roman" w:hAnsi="Times New Roman" w:cs="Times New Roman"/>
          <w:sz w:val="24"/>
          <w:szCs w:val="24"/>
        </w:rPr>
        <w:t>3</w:t>
      </w:r>
      <w:r w:rsidRPr="000D3717">
        <w:rPr>
          <w:rFonts w:ascii="Times New Roman" w:hAnsi="Times New Roman" w:cs="Times New Roman"/>
          <w:sz w:val="24"/>
          <w:szCs w:val="24"/>
        </w:rPr>
        <w:t xml:space="preserve">: </w:t>
      </w:r>
      <w:r w:rsidR="005F1C8E" w:rsidRPr="000D3717">
        <w:rPr>
          <w:rFonts w:ascii="Times New Roman" w:hAnsi="Times New Roman" w:cs="Times New Roman"/>
          <w:sz w:val="24"/>
          <w:szCs w:val="24"/>
        </w:rPr>
        <w:t>Dokumentet përkatëse të politikave, ligjet dhe aktet nënligjore</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890"/>
        <w:gridCol w:w="2369"/>
        <w:gridCol w:w="2446"/>
      </w:tblGrid>
      <w:tr w:rsidR="00A22B1A" w:rsidRPr="000D3717" w14:paraId="657CE3C5" w14:textId="77777777" w:rsidTr="00695808">
        <w:trPr>
          <w:jc w:val="center"/>
        </w:trPr>
        <w:tc>
          <w:tcPr>
            <w:tcW w:w="2920" w:type="dxa"/>
          </w:tcPr>
          <w:p w14:paraId="61B879C6" w14:textId="77777777" w:rsidR="00A22B1A" w:rsidRPr="000D3717" w:rsidRDefault="00730CA6" w:rsidP="008D7069">
            <w:pPr>
              <w:spacing w:after="0" w:line="240" w:lineRule="auto"/>
              <w:rPr>
                <w:rFonts w:ascii="Times New Roman" w:hAnsi="Times New Roman" w:cs="Times New Roman"/>
                <w:b/>
                <w:sz w:val="24"/>
                <w:szCs w:val="24"/>
              </w:rPr>
            </w:pPr>
            <w:r w:rsidRPr="000D3717">
              <w:rPr>
                <w:rFonts w:ascii="Times New Roman" w:hAnsi="Times New Roman" w:cs="Times New Roman"/>
                <w:b/>
                <w:sz w:val="24"/>
                <w:szCs w:val="24"/>
              </w:rPr>
              <w:t>Dokument i politikave, ligj ose akti nën-ligjor</w:t>
            </w:r>
          </w:p>
        </w:tc>
        <w:tc>
          <w:tcPr>
            <w:tcW w:w="1890" w:type="dxa"/>
          </w:tcPr>
          <w:p w14:paraId="7D248A6D" w14:textId="77777777" w:rsidR="00A22B1A" w:rsidRPr="000D3717" w:rsidRDefault="00730CA6" w:rsidP="008D7069">
            <w:pPr>
              <w:spacing w:after="0" w:line="240" w:lineRule="auto"/>
              <w:rPr>
                <w:rFonts w:ascii="Times New Roman" w:hAnsi="Times New Roman" w:cs="Times New Roman"/>
                <w:b/>
                <w:sz w:val="24"/>
                <w:szCs w:val="24"/>
              </w:rPr>
            </w:pPr>
            <w:r w:rsidRPr="000D3717">
              <w:rPr>
                <w:rFonts w:ascii="Times New Roman" w:hAnsi="Times New Roman" w:cs="Times New Roman"/>
                <w:b/>
                <w:sz w:val="24"/>
                <w:szCs w:val="24"/>
              </w:rPr>
              <w:t>Lidhja me politikën apo dokumentin planifikues përmes internetit ose me aktet ligjore në Gazetën Zyrtare</w:t>
            </w:r>
          </w:p>
        </w:tc>
        <w:tc>
          <w:tcPr>
            <w:tcW w:w="2369" w:type="dxa"/>
          </w:tcPr>
          <w:p w14:paraId="7DDF6E35" w14:textId="77777777" w:rsidR="00A22B1A" w:rsidRPr="000D3717" w:rsidRDefault="00730CA6" w:rsidP="008D7069">
            <w:pPr>
              <w:spacing w:after="0" w:line="240" w:lineRule="auto"/>
              <w:rPr>
                <w:rFonts w:ascii="Times New Roman" w:hAnsi="Times New Roman" w:cs="Times New Roman"/>
                <w:b/>
                <w:sz w:val="24"/>
                <w:szCs w:val="24"/>
              </w:rPr>
            </w:pPr>
            <w:r w:rsidRPr="000D3717">
              <w:rPr>
                <w:rFonts w:ascii="Times New Roman" w:hAnsi="Times New Roman" w:cs="Times New Roman"/>
                <w:b/>
                <w:sz w:val="24"/>
                <w:szCs w:val="24"/>
              </w:rPr>
              <w:t>Institucioni(-et) shtetëror (e) përgjegjës(e) për zbatim</w:t>
            </w:r>
          </w:p>
        </w:tc>
        <w:tc>
          <w:tcPr>
            <w:tcW w:w="2446" w:type="dxa"/>
          </w:tcPr>
          <w:p w14:paraId="7F93D5C5" w14:textId="77777777" w:rsidR="00A22B1A" w:rsidRPr="000D3717" w:rsidRDefault="00730CA6" w:rsidP="008D7069">
            <w:pPr>
              <w:spacing w:after="0" w:line="240" w:lineRule="auto"/>
              <w:rPr>
                <w:rFonts w:ascii="Times New Roman" w:hAnsi="Times New Roman" w:cs="Times New Roman"/>
                <w:b/>
                <w:sz w:val="24"/>
                <w:szCs w:val="24"/>
              </w:rPr>
            </w:pPr>
            <w:r w:rsidRPr="000D3717">
              <w:rPr>
                <w:rFonts w:ascii="Times New Roman" w:hAnsi="Times New Roman" w:cs="Times New Roman"/>
                <w:b/>
                <w:sz w:val="24"/>
                <w:szCs w:val="24"/>
              </w:rPr>
              <w:t>Roli dhe detyrat e Institucionit(-eve)</w:t>
            </w:r>
          </w:p>
        </w:tc>
      </w:tr>
      <w:tr w:rsidR="008D0571" w:rsidRPr="000D3717" w14:paraId="5728709D" w14:textId="77777777" w:rsidTr="00695808">
        <w:trPr>
          <w:jc w:val="center"/>
        </w:trPr>
        <w:tc>
          <w:tcPr>
            <w:tcW w:w="2920" w:type="dxa"/>
          </w:tcPr>
          <w:p w14:paraId="033AEA7E" w14:textId="77777777" w:rsidR="008D0571" w:rsidRPr="000D3717" w:rsidRDefault="008D0571"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w:t>
            </w:r>
            <w:r w:rsidR="00C30F61">
              <w:rPr>
                <w:rFonts w:ascii="Times New Roman" w:hAnsi="Times New Roman" w:cs="Times New Roman"/>
                <w:sz w:val="24"/>
                <w:szCs w:val="24"/>
              </w:rPr>
              <w:t>gj</w:t>
            </w:r>
            <w:r w:rsidRPr="000D3717">
              <w:rPr>
                <w:rFonts w:ascii="Times New Roman" w:hAnsi="Times New Roman" w:cs="Times New Roman"/>
                <w:sz w:val="24"/>
                <w:szCs w:val="24"/>
              </w:rPr>
              <w:t xml:space="preserve">enda </w:t>
            </w:r>
            <w:r w:rsidR="004E7BE9"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Reforma Evropiane 2016 (ERA </w:t>
            </w:r>
            <w:r w:rsidR="005754E2" w:rsidRPr="000D3717">
              <w:rPr>
                <w:rFonts w:ascii="Times New Roman" w:hAnsi="Times New Roman" w:cs="Times New Roman"/>
                <w:sz w:val="24"/>
                <w:szCs w:val="24"/>
              </w:rPr>
              <w:t>–Kapitulli 2, Pika 2, Paragrafi e);</w:t>
            </w:r>
          </w:p>
        </w:tc>
        <w:tc>
          <w:tcPr>
            <w:tcW w:w="1890" w:type="dxa"/>
          </w:tcPr>
          <w:p w14:paraId="064282CC" w14:textId="77777777" w:rsidR="008B6EDC" w:rsidRPr="000D3717" w:rsidRDefault="008B6EDC" w:rsidP="008D7069">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Ministria e Integrimeve Evropiane</w:t>
            </w:r>
          </w:p>
          <w:p w14:paraId="40A0873B" w14:textId="77777777" w:rsidR="008B6EDC" w:rsidRPr="000D3717" w:rsidRDefault="008B6EDC" w:rsidP="008D7069">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w:t>
            </w:r>
            <w:hyperlink r:id="rId14" w:history="1">
              <w:r w:rsidR="00F778AE" w:rsidRPr="000D3717">
                <w:rPr>
                  <w:rStyle w:val="Hyperlink"/>
                  <w:rFonts w:ascii="Times New Roman" w:hAnsi="Times New Roman" w:cs="Times New Roman"/>
                  <w:sz w:val="24"/>
                  <w:szCs w:val="24"/>
                </w:rPr>
                <w:t>http://www.mei-ks.net/sq</w:t>
              </w:r>
            </w:hyperlink>
            <w:r w:rsidRPr="000D3717">
              <w:rPr>
                <w:rFonts w:ascii="Times New Roman" w:hAnsi="Times New Roman" w:cs="Times New Roman"/>
                <w:sz w:val="24"/>
                <w:szCs w:val="24"/>
              </w:rPr>
              <w:t>)</w:t>
            </w:r>
            <w:r w:rsidR="00F778AE" w:rsidRPr="000D3717">
              <w:rPr>
                <w:rFonts w:ascii="Times New Roman" w:hAnsi="Times New Roman" w:cs="Times New Roman"/>
                <w:sz w:val="24"/>
                <w:szCs w:val="24"/>
              </w:rPr>
              <w:t xml:space="preserve"> </w:t>
            </w:r>
          </w:p>
          <w:p w14:paraId="6970B8F7" w14:textId="77777777" w:rsidR="008B6EDC" w:rsidRPr="000D3717" w:rsidRDefault="008B6EDC" w:rsidP="008D7069">
            <w:pPr>
              <w:spacing w:after="0" w:line="240" w:lineRule="auto"/>
              <w:rPr>
                <w:rFonts w:ascii="Times New Roman" w:hAnsi="Times New Roman" w:cs="Times New Roman"/>
                <w:sz w:val="24"/>
                <w:szCs w:val="24"/>
              </w:rPr>
            </w:pPr>
          </w:p>
          <w:p w14:paraId="2474C4C8" w14:textId="77777777" w:rsidR="008D0571" w:rsidRPr="000D3717" w:rsidRDefault="008D0571" w:rsidP="008D7069">
            <w:pPr>
              <w:spacing w:after="0" w:line="240" w:lineRule="auto"/>
              <w:rPr>
                <w:rFonts w:ascii="Times New Roman" w:hAnsi="Times New Roman" w:cs="Times New Roman"/>
                <w:sz w:val="24"/>
                <w:szCs w:val="24"/>
              </w:rPr>
            </w:pPr>
          </w:p>
        </w:tc>
        <w:tc>
          <w:tcPr>
            <w:tcW w:w="2369" w:type="dxa"/>
          </w:tcPr>
          <w:p w14:paraId="2EADF976" w14:textId="77777777" w:rsidR="008D0571" w:rsidRPr="000D3717" w:rsidRDefault="009C432A" w:rsidP="008D7069">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4E7BE9" w:rsidRPr="000D3717">
              <w:rPr>
                <w:rFonts w:ascii="Times New Roman" w:hAnsi="Times New Roman" w:cs="Times New Roman"/>
                <w:sz w:val="24"/>
                <w:szCs w:val="24"/>
              </w:rPr>
              <w:t>Konkurrencës</w:t>
            </w:r>
          </w:p>
        </w:tc>
        <w:tc>
          <w:tcPr>
            <w:tcW w:w="2446" w:type="dxa"/>
          </w:tcPr>
          <w:p w14:paraId="6347DE4F" w14:textId="77777777" w:rsidR="008D0571" w:rsidRPr="000D3717" w:rsidRDefault="005754E2" w:rsidP="008D7069">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Harmonizimin e legjislacionit, përmirësimin e kapaciteteve të organeve të konkurrencës dhe ndihmës shtetërore, dhe sigurimin që të fillojnë të zbatojnë mandatet e tyre</w:t>
            </w:r>
          </w:p>
        </w:tc>
      </w:tr>
      <w:tr w:rsidR="009C432A" w:rsidRPr="000D3717" w14:paraId="5B42EE0A" w14:textId="77777777" w:rsidTr="00695808">
        <w:trPr>
          <w:jc w:val="center"/>
        </w:trPr>
        <w:tc>
          <w:tcPr>
            <w:tcW w:w="2920" w:type="dxa"/>
          </w:tcPr>
          <w:p w14:paraId="457510CD" w14:textId="77777777" w:rsidR="009C432A" w:rsidRPr="000D3717" w:rsidRDefault="003D1043"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Marrëveshja</w:t>
            </w:r>
            <w:r w:rsidR="009C432A" w:rsidRPr="000D3717">
              <w:rPr>
                <w:rFonts w:ascii="Times New Roman" w:hAnsi="Times New Roman" w:cs="Times New Roman"/>
                <w:sz w:val="24"/>
                <w:szCs w:val="24"/>
              </w:rPr>
              <w:t xml:space="preserve"> e Stabilizim </w:t>
            </w:r>
            <w:proofErr w:type="spellStart"/>
            <w:r w:rsidR="009C432A" w:rsidRPr="000D3717">
              <w:rPr>
                <w:rFonts w:ascii="Times New Roman" w:hAnsi="Times New Roman" w:cs="Times New Roman"/>
                <w:sz w:val="24"/>
                <w:szCs w:val="24"/>
              </w:rPr>
              <w:t>Asocimit</w:t>
            </w:r>
            <w:proofErr w:type="spellEnd"/>
            <w:r w:rsidR="009C432A" w:rsidRPr="000D3717">
              <w:rPr>
                <w:rFonts w:ascii="Times New Roman" w:hAnsi="Times New Roman" w:cs="Times New Roman"/>
                <w:sz w:val="24"/>
                <w:szCs w:val="24"/>
              </w:rPr>
              <w:t xml:space="preserve"> (</w:t>
            </w:r>
            <w:r w:rsidRPr="000D3717">
              <w:rPr>
                <w:rFonts w:ascii="Times New Roman" w:hAnsi="Times New Roman" w:cs="Times New Roman"/>
                <w:sz w:val="24"/>
                <w:szCs w:val="24"/>
              </w:rPr>
              <w:t>Kapitulli</w:t>
            </w:r>
            <w:r w:rsidR="009C432A" w:rsidRPr="000D3717">
              <w:rPr>
                <w:rFonts w:ascii="Times New Roman" w:hAnsi="Times New Roman" w:cs="Times New Roman"/>
                <w:sz w:val="24"/>
                <w:szCs w:val="24"/>
              </w:rPr>
              <w:t xml:space="preserve"> 8 – </w:t>
            </w:r>
            <w:r w:rsidRPr="000D3717">
              <w:rPr>
                <w:rFonts w:ascii="Times New Roman" w:hAnsi="Times New Roman" w:cs="Times New Roman"/>
                <w:sz w:val="24"/>
                <w:szCs w:val="24"/>
              </w:rPr>
              <w:t>Politikat</w:t>
            </w:r>
            <w:r w:rsidR="009C432A" w:rsidRPr="000D3717">
              <w:rPr>
                <w:rFonts w:ascii="Times New Roman" w:hAnsi="Times New Roman" w:cs="Times New Roman"/>
                <w:sz w:val="24"/>
                <w:szCs w:val="24"/>
              </w:rPr>
              <w:t xml:space="preserve"> e </w:t>
            </w:r>
            <w:r w:rsidRPr="000D3717">
              <w:rPr>
                <w:rFonts w:ascii="Times New Roman" w:hAnsi="Times New Roman" w:cs="Times New Roman"/>
                <w:sz w:val="24"/>
                <w:szCs w:val="24"/>
              </w:rPr>
              <w:t>Konkurrencës</w:t>
            </w:r>
            <w:r w:rsidR="009C432A" w:rsidRPr="000D3717">
              <w:rPr>
                <w:rFonts w:ascii="Times New Roman" w:hAnsi="Times New Roman" w:cs="Times New Roman"/>
                <w:sz w:val="24"/>
                <w:szCs w:val="24"/>
              </w:rPr>
              <w:t>)</w:t>
            </w:r>
          </w:p>
        </w:tc>
        <w:tc>
          <w:tcPr>
            <w:tcW w:w="1890" w:type="dxa"/>
          </w:tcPr>
          <w:p w14:paraId="3712532D" w14:textId="77777777" w:rsidR="008B6EDC" w:rsidRPr="000D3717" w:rsidRDefault="008B6EDC" w:rsidP="008B6EDC">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Ministria e Integrimeve Evropiane</w:t>
            </w:r>
          </w:p>
          <w:p w14:paraId="550DC2DB" w14:textId="77777777" w:rsidR="008B6EDC" w:rsidRPr="000D3717" w:rsidRDefault="008B6EDC" w:rsidP="008B6EDC">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w:t>
            </w:r>
            <w:hyperlink r:id="rId15" w:history="1">
              <w:r w:rsidR="00F778AE" w:rsidRPr="000D3717">
                <w:rPr>
                  <w:rStyle w:val="Hyperlink"/>
                  <w:rFonts w:ascii="Times New Roman" w:hAnsi="Times New Roman" w:cs="Times New Roman"/>
                  <w:sz w:val="24"/>
                  <w:szCs w:val="24"/>
                </w:rPr>
                <w:t>http://www.mei-ks.net/sq</w:t>
              </w:r>
            </w:hyperlink>
            <w:r w:rsidRPr="000D3717">
              <w:rPr>
                <w:rFonts w:ascii="Times New Roman" w:hAnsi="Times New Roman" w:cs="Times New Roman"/>
                <w:sz w:val="24"/>
                <w:szCs w:val="24"/>
              </w:rPr>
              <w:t>)</w:t>
            </w:r>
            <w:r w:rsidR="00F778AE" w:rsidRPr="000D3717">
              <w:rPr>
                <w:rFonts w:ascii="Times New Roman" w:hAnsi="Times New Roman" w:cs="Times New Roman"/>
                <w:sz w:val="24"/>
                <w:szCs w:val="24"/>
              </w:rPr>
              <w:t xml:space="preserve"> </w:t>
            </w:r>
          </w:p>
          <w:p w14:paraId="0BF93FC7" w14:textId="77777777" w:rsidR="009C432A" w:rsidRPr="000D3717" w:rsidRDefault="009C432A" w:rsidP="009C432A">
            <w:pPr>
              <w:spacing w:after="0" w:line="240" w:lineRule="auto"/>
              <w:rPr>
                <w:rFonts w:ascii="Times New Roman" w:hAnsi="Times New Roman" w:cs="Times New Roman"/>
                <w:sz w:val="24"/>
                <w:szCs w:val="24"/>
              </w:rPr>
            </w:pPr>
          </w:p>
        </w:tc>
        <w:tc>
          <w:tcPr>
            <w:tcW w:w="2369" w:type="dxa"/>
          </w:tcPr>
          <w:p w14:paraId="74105E33" w14:textId="77777777" w:rsidR="009C432A" w:rsidRPr="000D3717" w:rsidRDefault="009C432A"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Ministria e </w:t>
            </w:r>
            <w:r w:rsidR="003D1043" w:rsidRPr="000D3717">
              <w:rPr>
                <w:rFonts w:ascii="Times New Roman" w:hAnsi="Times New Roman" w:cs="Times New Roman"/>
                <w:sz w:val="24"/>
                <w:szCs w:val="24"/>
              </w:rPr>
              <w:t>Tregtisë</w:t>
            </w:r>
            <w:r w:rsidRPr="000D3717">
              <w:rPr>
                <w:rFonts w:ascii="Times New Roman" w:hAnsi="Times New Roman" w:cs="Times New Roman"/>
                <w:sz w:val="24"/>
                <w:szCs w:val="24"/>
              </w:rPr>
              <w:t xml:space="preserve"> dhe </w:t>
            </w:r>
            <w:r w:rsidR="003D1043" w:rsidRPr="000D3717">
              <w:rPr>
                <w:rFonts w:ascii="Times New Roman" w:hAnsi="Times New Roman" w:cs="Times New Roman"/>
                <w:sz w:val="24"/>
                <w:szCs w:val="24"/>
              </w:rPr>
              <w:t>Industrisë</w:t>
            </w:r>
          </w:p>
        </w:tc>
        <w:tc>
          <w:tcPr>
            <w:tcW w:w="2446" w:type="dxa"/>
          </w:tcPr>
          <w:p w14:paraId="32FAD179" w14:textId="28C89C46" w:rsidR="009C432A" w:rsidRPr="000D3717" w:rsidRDefault="000F4211" w:rsidP="00BF006C">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E para, zbatimi i Agjendës për Reforma Evropiane (ERA-s) dhe e dyta, zbatimi i obligimeve t</w:t>
            </w:r>
            <w:r w:rsidR="00C30F61">
              <w:rPr>
                <w:rFonts w:ascii="Times New Roman" w:hAnsi="Times New Roman" w:cs="Times New Roman"/>
                <w:sz w:val="24"/>
                <w:szCs w:val="24"/>
              </w:rPr>
              <w:t>ë</w:t>
            </w:r>
            <w:r w:rsidRPr="000D3717">
              <w:rPr>
                <w:rFonts w:ascii="Times New Roman" w:hAnsi="Times New Roman" w:cs="Times New Roman"/>
                <w:sz w:val="24"/>
                <w:szCs w:val="24"/>
              </w:rPr>
              <w:t xml:space="preserve"> dala nga MSA . </w:t>
            </w:r>
          </w:p>
        </w:tc>
      </w:tr>
      <w:tr w:rsidR="009C432A" w:rsidRPr="000D3717" w14:paraId="148D82C3" w14:textId="77777777" w:rsidTr="00695808">
        <w:trPr>
          <w:jc w:val="center"/>
        </w:trPr>
        <w:tc>
          <w:tcPr>
            <w:tcW w:w="2920" w:type="dxa"/>
          </w:tcPr>
          <w:p w14:paraId="31B2E2BB" w14:textId="77777777" w:rsidR="009C432A" w:rsidRPr="000D3717" w:rsidRDefault="003D1043"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Raporti i Punës i </w:t>
            </w:r>
            <w:r w:rsidR="009C432A" w:rsidRPr="000D3717">
              <w:rPr>
                <w:rFonts w:ascii="Times New Roman" w:hAnsi="Times New Roman" w:cs="Times New Roman"/>
                <w:sz w:val="24"/>
                <w:szCs w:val="24"/>
              </w:rPr>
              <w:t>AKK-së 2017</w:t>
            </w:r>
          </w:p>
        </w:tc>
        <w:tc>
          <w:tcPr>
            <w:tcW w:w="1890" w:type="dxa"/>
          </w:tcPr>
          <w:p w14:paraId="36B0E565" w14:textId="77777777" w:rsidR="009C432A" w:rsidRPr="000D3717" w:rsidRDefault="009C432A"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r w:rsidR="008B6EDC" w:rsidRPr="000D3717">
              <w:rPr>
                <w:rFonts w:ascii="Times New Roman" w:hAnsi="Times New Roman" w:cs="Times New Roman"/>
                <w:sz w:val="24"/>
                <w:szCs w:val="24"/>
              </w:rPr>
              <w:t xml:space="preserve"> (</w:t>
            </w:r>
            <w:hyperlink r:id="rId16" w:history="1">
              <w:r w:rsidR="008B6EDC" w:rsidRPr="000D3717">
                <w:rPr>
                  <w:rStyle w:val="Hyperlink"/>
                  <w:rFonts w:ascii="Times New Roman" w:hAnsi="Times New Roman" w:cs="Times New Roman"/>
                  <w:sz w:val="24"/>
                  <w:szCs w:val="24"/>
                </w:rPr>
                <w:t>https://ak.rks-gov.net/ballina</w:t>
              </w:r>
            </w:hyperlink>
            <w:r w:rsidR="008B6EDC" w:rsidRPr="000D3717">
              <w:rPr>
                <w:rFonts w:ascii="Times New Roman" w:hAnsi="Times New Roman" w:cs="Times New Roman"/>
                <w:sz w:val="24"/>
                <w:szCs w:val="24"/>
              </w:rPr>
              <w:t>)</w:t>
            </w:r>
          </w:p>
          <w:p w14:paraId="3B5D15C7" w14:textId="77777777" w:rsidR="008B6EDC" w:rsidRPr="000D3717" w:rsidRDefault="008B6EDC" w:rsidP="009C432A">
            <w:pPr>
              <w:spacing w:after="0" w:line="240" w:lineRule="auto"/>
              <w:rPr>
                <w:rFonts w:ascii="Times New Roman" w:hAnsi="Times New Roman" w:cs="Times New Roman"/>
                <w:sz w:val="24"/>
                <w:szCs w:val="24"/>
              </w:rPr>
            </w:pPr>
          </w:p>
        </w:tc>
        <w:tc>
          <w:tcPr>
            <w:tcW w:w="2369" w:type="dxa"/>
          </w:tcPr>
          <w:p w14:paraId="7D195512" w14:textId="77777777" w:rsidR="009C432A" w:rsidRPr="000D3717" w:rsidRDefault="00DE3B44"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p>
        </w:tc>
        <w:tc>
          <w:tcPr>
            <w:tcW w:w="2446" w:type="dxa"/>
          </w:tcPr>
          <w:p w14:paraId="4FE19550" w14:textId="2CBE5D5B" w:rsidR="0074400C" w:rsidRPr="00B22DB1" w:rsidRDefault="0074400C" w:rsidP="0074400C">
            <w:pPr>
              <w:pStyle w:val="NormalWeb"/>
              <w:shd w:val="clear" w:color="auto" w:fill="FFFFFF"/>
              <w:spacing w:before="0" w:beforeAutospacing="0" w:after="150" w:afterAutospacing="0"/>
              <w:rPr>
                <w:color w:val="000000"/>
                <w:lang w:val="sq-AL"/>
              </w:rPr>
            </w:pPr>
            <w:r w:rsidRPr="00B22DB1">
              <w:rPr>
                <w:color w:val="000000"/>
                <w:lang w:val="sq-AL"/>
              </w:rPr>
              <w:t>Raportimi i r</w:t>
            </w:r>
            <w:r w:rsidR="00C30F61" w:rsidRPr="00B22DB1">
              <w:rPr>
                <w:color w:val="000000"/>
                <w:lang w:val="sq-AL"/>
              </w:rPr>
              <w:t>r</w:t>
            </w:r>
            <w:r w:rsidRPr="00B22DB1">
              <w:rPr>
                <w:color w:val="000000"/>
                <w:lang w:val="sq-AL"/>
              </w:rPr>
              <w:t>egullt n</w:t>
            </w:r>
            <w:r w:rsidR="00C30F61" w:rsidRPr="00B22DB1">
              <w:rPr>
                <w:color w:val="000000"/>
                <w:lang w:val="sq-AL"/>
              </w:rPr>
              <w:t>ë</w:t>
            </w:r>
            <w:r w:rsidRPr="00B22DB1">
              <w:rPr>
                <w:color w:val="000000"/>
                <w:lang w:val="sq-AL"/>
              </w:rPr>
              <w:t xml:space="preserve"> lidhje me p</w:t>
            </w:r>
            <w:r w:rsidR="00C30F61" w:rsidRPr="00B22DB1">
              <w:rPr>
                <w:color w:val="000000"/>
                <w:lang w:val="sq-AL"/>
              </w:rPr>
              <w:t>ë</w:t>
            </w:r>
            <w:r w:rsidRPr="00B22DB1">
              <w:rPr>
                <w:color w:val="000000"/>
                <w:lang w:val="sq-AL"/>
              </w:rPr>
              <w:t>rmbushjen e objektivave strategjike të Autoritetit Kosovar të Konkurrencës t</w:t>
            </w:r>
            <w:r w:rsidR="00C30F61" w:rsidRPr="00B22DB1">
              <w:rPr>
                <w:color w:val="000000"/>
                <w:lang w:val="sq-AL"/>
              </w:rPr>
              <w:t>ë</w:t>
            </w:r>
            <w:r w:rsidRPr="00B22DB1">
              <w:rPr>
                <w:color w:val="000000"/>
                <w:lang w:val="sq-AL"/>
              </w:rPr>
              <w:t xml:space="preserve"> cilat fokusohen n</w:t>
            </w:r>
            <w:r w:rsidR="00C30F61" w:rsidRPr="00B22DB1">
              <w:rPr>
                <w:color w:val="000000"/>
                <w:lang w:val="sq-AL"/>
              </w:rPr>
              <w:t>ë</w:t>
            </w:r>
            <w:r w:rsidRPr="00B22DB1">
              <w:rPr>
                <w:color w:val="000000"/>
                <w:lang w:val="sq-AL"/>
              </w:rPr>
              <w:t xml:space="preserve">: organizimin dhe ngritjen e brendshme të Autoritetit Kosovar të Konkurrencës, kompletimin me legjislacionin sekondar </w:t>
            </w:r>
            <w:r w:rsidRPr="00B22DB1">
              <w:rPr>
                <w:color w:val="000000"/>
                <w:lang w:val="sq-AL"/>
              </w:rPr>
              <w:lastRenderedPageBreak/>
              <w:t xml:space="preserve">në fushën e konkurrencës në përputhje me direktivat Evropiane, monitorimin dhe fillimin e procedurave </w:t>
            </w:r>
            <w:proofErr w:type="spellStart"/>
            <w:r w:rsidRPr="00B22DB1">
              <w:rPr>
                <w:color w:val="000000"/>
                <w:lang w:val="sq-AL"/>
              </w:rPr>
              <w:t>investiguese</w:t>
            </w:r>
            <w:proofErr w:type="spellEnd"/>
            <w:r w:rsidRPr="00B22DB1">
              <w:rPr>
                <w:color w:val="000000"/>
                <w:lang w:val="sq-AL"/>
              </w:rPr>
              <w:t xml:space="preserve"> për shkelësit e konkurrencës, si dhe </w:t>
            </w:r>
            <w:proofErr w:type="spellStart"/>
            <w:r w:rsidRPr="00B22DB1">
              <w:rPr>
                <w:color w:val="000000"/>
                <w:lang w:val="sq-AL"/>
              </w:rPr>
              <w:t>avokimin</w:t>
            </w:r>
            <w:proofErr w:type="spellEnd"/>
            <w:r w:rsidRPr="00B22DB1">
              <w:rPr>
                <w:color w:val="000000"/>
                <w:lang w:val="sq-AL"/>
              </w:rPr>
              <w:t xml:space="preserve">, organizimin e trajnimeve në fushën e konkurrencës me </w:t>
            </w:r>
            <w:proofErr w:type="spellStart"/>
            <w:r w:rsidRPr="00B22DB1">
              <w:rPr>
                <w:color w:val="000000"/>
                <w:lang w:val="sq-AL"/>
              </w:rPr>
              <w:t>aktere</w:t>
            </w:r>
            <w:proofErr w:type="spellEnd"/>
            <w:r w:rsidRPr="00B22DB1">
              <w:rPr>
                <w:color w:val="000000"/>
                <w:lang w:val="sq-AL"/>
              </w:rPr>
              <w:t xml:space="preserve"> të ndryshëm të shoqërisë.</w:t>
            </w:r>
          </w:p>
          <w:p w14:paraId="1C2A0EFB" w14:textId="77777777" w:rsidR="009C432A" w:rsidRPr="000D3717" w:rsidRDefault="009C432A" w:rsidP="009C432A">
            <w:pPr>
              <w:spacing w:after="0" w:line="240" w:lineRule="auto"/>
              <w:rPr>
                <w:rFonts w:ascii="Times New Roman" w:hAnsi="Times New Roman" w:cs="Times New Roman"/>
                <w:sz w:val="24"/>
                <w:szCs w:val="24"/>
              </w:rPr>
            </w:pPr>
          </w:p>
        </w:tc>
      </w:tr>
      <w:tr w:rsidR="009C432A" w:rsidRPr="000D3717" w14:paraId="79521D60" w14:textId="77777777" w:rsidTr="00695808">
        <w:trPr>
          <w:jc w:val="center"/>
        </w:trPr>
        <w:tc>
          <w:tcPr>
            <w:tcW w:w="2920" w:type="dxa"/>
          </w:tcPr>
          <w:p w14:paraId="13DE2292" w14:textId="77777777" w:rsidR="009C432A" w:rsidRPr="000D3717" w:rsidRDefault="009C432A" w:rsidP="00695808">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lastRenderedPageBreak/>
              <w:t>L</w:t>
            </w:r>
            <w:r w:rsidR="003D1043" w:rsidRPr="000D3717">
              <w:rPr>
                <w:rFonts w:ascii="Times New Roman" w:hAnsi="Times New Roman" w:cs="Times New Roman"/>
                <w:sz w:val="24"/>
                <w:szCs w:val="24"/>
              </w:rPr>
              <w:t>gji</w:t>
            </w:r>
            <w:proofErr w:type="spellEnd"/>
            <w:r w:rsidRPr="000D3717">
              <w:rPr>
                <w:rFonts w:ascii="Times New Roman" w:hAnsi="Times New Roman" w:cs="Times New Roman"/>
                <w:sz w:val="24"/>
                <w:szCs w:val="24"/>
              </w:rPr>
              <w:t xml:space="preserve"> N</w:t>
            </w:r>
            <w:r w:rsidR="0077080C">
              <w:rPr>
                <w:rFonts w:ascii="Times New Roman" w:hAnsi="Times New Roman" w:cs="Times New Roman"/>
                <w:sz w:val="24"/>
                <w:szCs w:val="24"/>
              </w:rPr>
              <w:t>r</w:t>
            </w:r>
            <w:r w:rsidRPr="000D3717">
              <w:rPr>
                <w:rFonts w:ascii="Times New Roman" w:hAnsi="Times New Roman" w:cs="Times New Roman"/>
                <w:sz w:val="24"/>
                <w:szCs w:val="24"/>
              </w:rPr>
              <w:t xml:space="preserve">. 03/L-229 </w:t>
            </w:r>
            <w:r w:rsidR="003D1043" w:rsidRPr="000D3717">
              <w:rPr>
                <w:rFonts w:ascii="Times New Roman" w:hAnsi="Times New Roman" w:cs="Times New Roman"/>
                <w:sz w:val="24"/>
                <w:szCs w:val="24"/>
              </w:rPr>
              <w:t>për mbrojtjen e konkurrencës</w:t>
            </w:r>
          </w:p>
        </w:tc>
        <w:tc>
          <w:tcPr>
            <w:tcW w:w="1890" w:type="dxa"/>
          </w:tcPr>
          <w:p w14:paraId="4BE10990" w14:textId="77777777" w:rsidR="009C432A" w:rsidRPr="000D3717" w:rsidRDefault="00DE3B44"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Gazeta Zyrtare Nr. 88/25 </w:t>
            </w:r>
            <w:r w:rsidR="0077080C">
              <w:rPr>
                <w:rFonts w:ascii="Times New Roman" w:hAnsi="Times New Roman" w:cs="Times New Roman"/>
                <w:sz w:val="24"/>
                <w:szCs w:val="24"/>
              </w:rPr>
              <w:t>n</w:t>
            </w:r>
            <w:r w:rsidR="003D1043" w:rsidRPr="000D3717">
              <w:rPr>
                <w:rFonts w:ascii="Times New Roman" w:hAnsi="Times New Roman" w:cs="Times New Roman"/>
                <w:sz w:val="24"/>
                <w:szCs w:val="24"/>
              </w:rPr>
              <w:t>ëntor</w:t>
            </w:r>
            <w:r w:rsidRPr="000D3717">
              <w:rPr>
                <w:rFonts w:ascii="Times New Roman" w:hAnsi="Times New Roman" w:cs="Times New Roman"/>
                <w:sz w:val="24"/>
                <w:szCs w:val="24"/>
              </w:rPr>
              <w:t xml:space="preserve"> 2010</w:t>
            </w:r>
            <w:r w:rsidR="008B6EDC" w:rsidRPr="000D3717">
              <w:rPr>
                <w:rFonts w:ascii="Times New Roman" w:hAnsi="Times New Roman" w:cs="Times New Roman"/>
                <w:sz w:val="24"/>
                <w:szCs w:val="24"/>
              </w:rPr>
              <w:t xml:space="preserve"> (</w:t>
            </w:r>
            <w:hyperlink r:id="rId17" w:history="1">
              <w:r w:rsidR="008B6EDC" w:rsidRPr="000D3717">
                <w:rPr>
                  <w:rStyle w:val="Hyperlink"/>
                  <w:rFonts w:ascii="Times New Roman" w:hAnsi="Times New Roman" w:cs="Times New Roman"/>
                  <w:sz w:val="24"/>
                  <w:szCs w:val="24"/>
                </w:rPr>
                <w:t>https://gzk.rks-gov.net/</w:t>
              </w:r>
            </w:hyperlink>
            <w:r w:rsidR="008B6EDC" w:rsidRPr="000D3717">
              <w:rPr>
                <w:rFonts w:ascii="Times New Roman" w:hAnsi="Times New Roman" w:cs="Times New Roman"/>
                <w:sz w:val="24"/>
                <w:szCs w:val="24"/>
              </w:rPr>
              <w:t xml:space="preserve">) </w:t>
            </w:r>
          </w:p>
        </w:tc>
        <w:tc>
          <w:tcPr>
            <w:tcW w:w="2369" w:type="dxa"/>
          </w:tcPr>
          <w:p w14:paraId="1338C0F1" w14:textId="77777777" w:rsidR="00DE3B44" w:rsidRPr="000D3717" w:rsidRDefault="00DE3B44"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Ministria e </w:t>
            </w:r>
            <w:r w:rsidR="003D1043" w:rsidRPr="000D3717">
              <w:rPr>
                <w:rFonts w:ascii="Times New Roman" w:hAnsi="Times New Roman" w:cs="Times New Roman"/>
                <w:sz w:val="24"/>
                <w:szCs w:val="24"/>
              </w:rPr>
              <w:t>Tregtisë</w:t>
            </w:r>
            <w:r w:rsidRPr="000D3717">
              <w:rPr>
                <w:rFonts w:ascii="Times New Roman" w:hAnsi="Times New Roman" w:cs="Times New Roman"/>
                <w:sz w:val="24"/>
                <w:szCs w:val="24"/>
              </w:rPr>
              <w:t xml:space="preserve"> dhe </w:t>
            </w:r>
            <w:r w:rsidR="003D1043" w:rsidRPr="000D3717">
              <w:rPr>
                <w:rFonts w:ascii="Times New Roman" w:hAnsi="Times New Roman" w:cs="Times New Roman"/>
                <w:sz w:val="24"/>
                <w:szCs w:val="24"/>
              </w:rPr>
              <w:t>Industrisë</w:t>
            </w:r>
          </w:p>
        </w:tc>
        <w:tc>
          <w:tcPr>
            <w:tcW w:w="2446" w:type="dxa"/>
          </w:tcPr>
          <w:p w14:paraId="034E990C" w14:textId="77777777" w:rsidR="00DE3B44" w:rsidRPr="000D3717" w:rsidRDefault="00DE3B44" w:rsidP="009C432A">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Zbatimi dhe </w:t>
            </w:r>
            <w:r w:rsidR="003D1043" w:rsidRPr="000D3717">
              <w:rPr>
                <w:rFonts w:ascii="Times New Roman" w:hAnsi="Times New Roman" w:cs="Times New Roman"/>
                <w:sz w:val="24"/>
                <w:szCs w:val="24"/>
              </w:rPr>
              <w:t>implementimi</w:t>
            </w:r>
            <w:r w:rsidRPr="000D3717">
              <w:rPr>
                <w:rFonts w:ascii="Times New Roman" w:hAnsi="Times New Roman" w:cs="Times New Roman"/>
                <w:sz w:val="24"/>
                <w:szCs w:val="24"/>
              </w:rPr>
              <w:t xml:space="preserve"> i ligjeve dhe akteve </w:t>
            </w:r>
            <w:r w:rsidR="003D1043" w:rsidRPr="000D3717">
              <w:rPr>
                <w:rFonts w:ascii="Times New Roman" w:hAnsi="Times New Roman" w:cs="Times New Roman"/>
                <w:sz w:val="24"/>
                <w:szCs w:val="24"/>
              </w:rPr>
              <w:t>nënligjore</w:t>
            </w:r>
            <w:r w:rsidRPr="000D3717">
              <w:rPr>
                <w:rFonts w:ascii="Times New Roman" w:hAnsi="Times New Roman" w:cs="Times New Roman"/>
                <w:sz w:val="24"/>
                <w:szCs w:val="24"/>
              </w:rPr>
              <w:t xml:space="preserve"> nga AKK; MTI </w:t>
            </w:r>
            <w:r w:rsidR="003D1043"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w:t>
            </w:r>
            <w:r w:rsidR="003D1043" w:rsidRPr="000D3717">
              <w:rPr>
                <w:rFonts w:ascii="Times New Roman" w:hAnsi="Times New Roman" w:cs="Times New Roman"/>
                <w:sz w:val="24"/>
                <w:szCs w:val="24"/>
              </w:rPr>
              <w:t>sponsor</w:t>
            </w:r>
            <w:r w:rsidRPr="000D3717">
              <w:rPr>
                <w:rFonts w:ascii="Times New Roman" w:hAnsi="Times New Roman" w:cs="Times New Roman"/>
                <w:sz w:val="24"/>
                <w:szCs w:val="24"/>
              </w:rPr>
              <w:t xml:space="preserve"> i </w:t>
            </w:r>
            <w:r w:rsidR="003D1043" w:rsidRPr="000D3717">
              <w:rPr>
                <w:rFonts w:ascii="Times New Roman" w:hAnsi="Times New Roman" w:cs="Times New Roman"/>
                <w:sz w:val="24"/>
                <w:szCs w:val="24"/>
              </w:rPr>
              <w:t>kornizës</w:t>
            </w:r>
            <w:r w:rsidRPr="000D3717">
              <w:rPr>
                <w:rFonts w:ascii="Times New Roman" w:hAnsi="Times New Roman" w:cs="Times New Roman"/>
                <w:sz w:val="24"/>
                <w:szCs w:val="24"/>
              </w:rPr>
              <w:t xml:space="preserve"> ligjore.</w:t>
            </w:r>
          </w:p>
        </w:tc>
      </w:tr>
      <w:tr w:rsidR="00DE3B44" w:rsidRPr="000D3717" w14:paraId="2A74B0E9" w14:textId="77777777" w:rsidTr="00695808">
        <w:trPr>
          <w:jc w:val="center"/>
        </w:trPr>
        <w:tc>
          <w:tcPr>
            <w:tcW w:w="2920" w:type="dxa"/>
          </w:tcPr>
          <w:p w14:paraId="5E3DD8AC" w14:textId="77777777" w:rsidR="00DE3B44" w:rsidRPr="000D3717" w:rsidRDefault="00DE3B44"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LIGJI NR. 04/L-226 </w:t>
            </w:r>
            <w:r w:rsidR="003D1043" w:rsidRPr="000D3717">
              <w:rPr>
                <w:rFonts w:ascii="Times New Roman" w:hAnsi="Times New Roman" w:cs="Times New Roman"/>
                <w:sz w:val="24"/>
                <w:szCs w:val="24"/>
              </w:rPr>
              <w:t>për ndryshimin dhe plotësimin e ligjit nr. 03/l-229 për mbrojtjen e konkurrencës</w:t>
            </w:r>
          </w:p>
        </w:tc>
        <w:tc>
          <w:tcPr>
            <w:tcW w:w="1890" w:type="dxa"/>
          </w:tcPr>
          <w:p w14:paraId="05AE2584"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Gazeta Zyrtare Nr. 88/25 </w:t>
            </w:r>
            <w:r w:rsidR="003D1043" w:rsidRPr="000D3717">
              <w:rPr>
                <w:rFonts w:ascii="Times New Roman" w:hAnsi="Times New Roman" w:cs="Times New Roman"/>
                <w:sz w:val="24"/>
                <w:szCs w:val="24"/>
              </w:rPr>
              <w:t>Nëntor</w:t>
            </w:r>
            <w:r w:rsidRPr="000D3717">
              <w:rPr>
                <w:rFonts w:ascii="Times New Roman" w:hAnsi="Times New Roman" w:cs="Times New Roman"/>
                <w:sz w:val="24"/>
                <w:szCs w:val="24"/>
              </w:rPr>
              <w:t xml:space="preserve"> 2010 -PN.</w:t>
            </w:r>
            <w:r w:rsidR="00C10934" w:rsidRPr="000D3717">
              <w:rPr>
                <w:rFonts w:ascii="Times New Roman" w:hAnsi="Times New Roman" w:cs="Times New Roman"/>
                <w:sz w:val="24"/>
                <w:szCs w:val="24"/>
              </w:rPr>
              <w:t xml:space="preserve"> </w:t>
            </w:r>
            <w:r w:rsidRPr="000D3717">
              <w:rPr>
                <w:rFonts w:ascii="Times New Roman" w:hAnsi="Times New Roman" w:cs="Times New Roman"/>
                <w:sz w:val="24"/>
                <w:szCs w:val="24"/>
              </w:rPr>
              <w:t>Nr. 17/10 Mars 2014</w:t>
            </w:r>
            <w:r w:rsidR="008B6EDC" w:rsidRPr="000D3717">
              <w:rPr>
                <w:rFonts w:ascii="Times New Roman" w:hAnsi="Times New Roman" w:cs="Times New Roman"/>
                <w:sz w:val="24"/>
                <w:szCs w:val="24"/>
              </w:rPr>
              <w:t xml:space="preserve"> (</w:t>
            </w:r>
            <w:hyperlink r:id="rId18" w:history="1">
              <w:r w:rsidR="008B6EDC" w:rsidRPr="000D3717">
                <w:rPr>
                  <w:rStyle w:val="Hyperlink"/>
                  <w:rFonts w:ascii="Times New Roman" w:hAnsi="Times New Roman" w:cs="Times New Roman"/>
                  <w:sz w:val="24"/>
                  <w:szCs w:val="24"/>
                </w:rPr>
                <w:t>https://gzk.rks-gov.net/</w:t>
              </w:r>
            </w:hyperlink>
            <w:r w:rsidR="008B6EDC" w:rsidRPr="000D3717">
              <w:rPr>
                <w:rFonts w:ascii="Times New Roman" w:hAnsi="Times New Roman" w:cs="Times New Roman"/>
                <w:sz w:val="24"/>
                <w:szCs w:val="24"/>
              </w:rPr>
              <w:t xml:space="preserve">) </w:t>
            </w:r>
          </w:p>
        </w:tc>
        <w:tc>
          <w:tcPr>
            <w:tcW w:w="2369" w:type="dxa"/>
          </w:tcPr>
          <w:p w14:paraId="04E1E311"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Ministria e </w:t>
            </w:r>
            <w:r w:rsidR="003D1043" w:rsidRPr="000D3717">
              <w:rPr>
                <w:rFonts w:ascii="Times New Roman" w:hAnsi="Times New Roman" w:cs="Times New Roman"/>
                <w:sz w:val="24"/>
                <w:szCs w:val="24"/>
              </w:rPr>
              <w:t>Tregtisë</w:t>
            </w:r>
            <w:r w:rsidRPr="000D3717">
              <w:rPr>
                <w:rFonts w:ascii="Times New Roman" w:hAnsi="Times New Roman" w:cs="Times New Roman"/>
                <w:sz w:val="24"/>
                <w:szCs w:val="24"/>
              </w:rPr>
              <w:t xml:space="preserve"> dhe </w:t>
            </w:r>
            <w:r w:rsidR="003D1043" w:rsidRPr="000D3717">
              <w:rPr>
                <w:rFonts w:ascii="Times New Roman" w:hAnsi="Times New Roman" w:cs="Times New Roman"/>
                <w:sz w:val="24"/>
                <w:szCs w:val="24"/>
              </w:rPr>
              <w:t>Industrisë</w:t>
            </w:r>
          </w:p>
        </w:tc>
        <w:tc>
          <w:tcPr>
            <w:tcW w:w="2446" w:type="dxa"/>
          </w:tcPr>
          <w:p w14:paraId="68D0B9CC"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Zbatimi dhe </w:t>
            </w:r>
            <w:r w:rsidR="003D1043" w:rsidRPr="000D3717">
              <w:rPr>
                <w:rFonts w:ascii="Times New Roman" w:hAnsi="Times New Roman" w:cs="Times New Roman"/>
                <w:sz w:val="24"/>
                <w:szCs w:val="24"/>
              </w:rPr>
              <w:t>implementimi</w:t>
            </w:r>
            <w:r w:rsidRPr="000D3717">
              <w:rPr>
                <w:rFonts w:ascii="Times New Roman" w:hAnsi="Times New Roman" w:cs="Times New Roman"/>
                <w:sz w:val="24"/>
                <w:szCs w:val="24"/>
              </w:rPr>
              <w:t xml:space="preserve"> i ligjeve dhe akteve </w:t>
            </w:r>
            <w:r w:rsidR="003D1043" w:rsidRPr="000D3717">
              <w:rPr>
                <w:rFonts w:ascii="Times New Roman" w:hAnsi="Times New Roman" w:cs="Times New Roman"/>
                <w:sz w:val="24"/>
                <w:szCs w:val="24"/>
              </w:rPr>
              <w:t>nënligjore</w:t>
            </w:r>
            <w:r w:rsidRPr="000D3717">
              <w:rPr>
                <w:rFonts w:ascii="Times New Roman" w:hAnsi="Times New Roman" w:cs="Times New Roman"/>
                <w:sz w:val="24"/>
                <w:szCs w:val="24"/>
              </w:rPr>
              <w:t xml:space="preserve"> nga AKK; MTI </w:t>
            </w:r>
            <w:r w:rsidR="003D1043"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spon</w:t>
            </w:r>
            <w:r w:rsidR="003E43EE">
              <w:rPr>
                <w:rFonts w:ascii="Times New Roman" w:hAnsi="Times New Roman" w:cs="Times New Roman"/>
                <w:sz w:val="24"/>
                <w:szCs w:val="24"/>
              </w:rPr>
              <w:t>s</w:t>
            </w:r>
            <w:r w:rsidRPr="000D3717">
              <w:rPr>
                <w:rFonts w:ascii="Times New Roman" w:hAnsi="Times New Roman" w:cs="Times New Roman"/>
                <w:sz w:val="24"/>
                <w:szCs w:val="24"/>
              </w:rPr>
              <w:t>or</w:t>
            </w:r>
            <w:r w:rsidR="003E43EE">
              <w:rPr>
                <w:rFonts w:ascii="Times New Roman" w:hAnsi="Times New Roman" w:cs="Times New Roman"/>
                <w:sz w:val="24"/>
                <w:szCs w:val="24"/>
              </w:rPr>
              <w:t>iz</w:t>
            </w:r>
            <w:r w:rsidRPr="000D3717">
              <w:rPr>
                <w:rFonts w:ascii="Times New Roman" w:hAnsi="Times New Roman" w:cs="Times New Roman"/>
                <w:sz w:val="24"/>
                <w:szCs w:val="24"/>
              </w:rPr>
              <w:t>ues</w:t>
            </w:r>
            <w:proofErr w:type="spellEnd"/>
            <w:r w:rsidRPr="000D3717">
              <w:rPr>
                <w:rFonts w:ascii="Times New Roman" w:hAnsi="Times New Roman" w:cs="Times New Roman"/>
                <w:sz w:val="24"/>
                <w:szCs w:val="24"/>
              </w:rPr>
              <w:t xml:space="preserve"> i </w:t>
            </w:r>
            <w:r w:rsidR="003D1043" w:rsidRPr="000D3717">
              <w:rPr>
                <w:rFonts w:ascii="Times New Roman" w:hAnsi="Times New Roman" w:cs="Times New Roman"/>
                <w:sz w:val="24"/>
                <w:szCs w:val="24"/>
              </w:rPr>
              <w:t>kornizës</w:t>
            </w:r>
            <w:r w:rsidRPr="000D3717">
              <w:rPr>
                <w:rFonts w:ascii="Times New Roman" w:hAnsi="Times New Roman" w:cs="Times New Roman"/>
                <w:sz w:val="24"/>
                <w:szCs w:val="24"/>
              </w:rPr>
              <w:t xml:space="preserve"> ligjore.</w:t>
            </w:r>
          </w:p>
        </w:tc>
      </w:tr>
      <w:tr w:rsidR="00DE3B44" w:rsidRPr="000D3717" w14:paraId="26C7150B" w14:textId="77777777" w:rsidTr="00695808">
        <w:trPr>
          <w:jc w:val="center"/>
        </w:trPr>
        <w:tc>
          <w:tcPr>
            <w:tcW w:w="2920" w:type="dxa"/>
          </w:tcPr>
          <w:p w14:paraId="59B3A067" w14:textId="77777777" w:rsidR="00DE3B44" w:rsidRPr="000D3717" w:rsidRDefault="003D1043"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Udhëzim administrativ nr. 04/2012 për formën dhe përmbajtjen e legjitimacionit</w:t>
            </w:r>
          </w:p>
        </w:tc>
        <w:tc>
          <w:tcPr>
            <w:tcW w:w="1890" w:type="dxa"/>
          </w:tcPr>
          <w:p w14:paraId="5B1D6D60"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Gazeta Zyrtare</w:t>
            </w:r>
            <w:r w:rsidR="008B6EDC" w:rsidRPr="000D3717">
              <w:rPr>
                <w:rFonts w:ascii="Times New Roman" w:hAnsi="Times New Roman" w:cs="Times New Roman"/>
                <w:sz w:val="24"/>
                <w:szCs w:val="24"/>
              </w:rPr>
              <w:t xml:space="preserve"> (</w:t>
            </w:r>
            <w:hyperlink r:id="rId19" w:history="1">
              <w:r w:rsidR="008B6EDC" w:rsidRPr="000D3717">
                <w:rPr>
                  <w:rStyle w:val="Hyperlink"/>
                  <w:rFonts w:ascii="Times New Roman" w:hAnsi="Times New Roman" w:cs="Times New Roman"/>
                  <w:sz w:val="24"/>
                  <w:szCs w:val="24"/>
                </w:rPr>
                <w:t>https://gzk.rks-gov.net/</w:t>
              </w:r>
            </w:hyperlink>
            <w:r w:rsidR="008B6EDC" w:rsidRPr="000D3717">
              <w:rPr>
                <w:rFonts w:ascii="Times New Roman" w:hAnsi="Times New Roman" w:cs="Times New Roman"/>
                <w:sz w:val="24"/>
                <w:szCs w:val="24"/>
              </w:rPr>
              <w:t xml:space="preserve">) </w:t>
            </w:r>
          </w:p>
        </w:tc>
        <w:tc>
          <w:tcPr>
            <w:tcW w:w="2369" w:type="dxa"/>
          </w:tcPr>
          <w:p w14:paraId="12F9F38A"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Autoriteti Kosovar i </w:t>
            </w:r>
            <w:r w:rsidR="003D1043"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Ministria e </w:t>
            </w:r>
            <w:r w:rsidR="003D1043" w:rsidRPr="000D3717">
              <w:rPr>
                <w:rFonts w:ascii="Times New Roman" w:hAnsi="Times New Roman" w:cs="Times New Roman"/>
                <w:sz w:val="24"/>
                <w:szCs w:val="24"/>
              </w:rPr>
              <w:t>Tregtisë</w:t>
            </w:r>
            <w:r w:rsidRPr="000D3717">
              <w:rPr>
                <w:rFonts w:ascii="Times New Roman" w:hAnsi="Times New Roman" w:cs="Times New Roman"/>
                <w:sz w:val="24"/>
                <w:szCs w:val="24"/>
              </w:rPr>
              <w:t xml:space="preserve"> dhe </w:t>
            </w:r>
            <w:r w:rsidR="003D1043" w:rsidRPr="000D3717">
              <w:rPr>
                <w:rFonts w:ascii="Times New Roman" w:hAnsi="Times New Roman" w:cs="Times New Roman"/>
                <w:sz w:val="24"/>
                <w:szCs w:val="24"/>
              </w:rPr>
              <w:t>Industrisë</w:t>
            </w:r>
          </w:p>
        </w:tc>
        <w:tc>
          <w:tcPr>
            <w:tcW w:w="2446" w:type="dxa"/>
          </w:tcPr>
          <w:p w14:paraId="1A00ABAF" w14:textId="77777777" w:rsidR="00DE3B44" w:rsidRPr="000D3717" w:rsidRDefault="00DE3B44"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Zbatimi dhe </w:t>
            </w:r>
            <w:r w:rsidR="003D1043" w:rsidRPr="000D3717">
              <w:rPr>
                <w:rFonts w:ascii="Times New Roman" w:hAnsi="Times New Roman" w:cs="Times New Roman"/>
                <w:sz w:val="24"/>
                <w:szCs w:val="24"/>
              </w:rPr>
              <w:t>implementimi</w:t>
            </w:r>
            <w:r w:rsidRPr="000D3717">
              <w:rPr>
                <w:rFonts w:ascii="Times New Roman" w:hAnsi="Times New Roman" w:cs="Times New Roman"/>
                <w:sz w:val="24"/>
                <w:szCs w:val="24"/>
              </w:rPr>
              <w:t xml:space="preserve"> i ligjeve dhe akteve </w:t>
            </w:r>
            <w:r w:rsidR="003D1043" w:rsidRPr="000D3717">
              <w:rPr>
                <w:rFonts w:ascii="Times New Roman" w:hAnsi="Times New Roman" w:cs="Times New Roman"/>
                <w:sz w:val="24"/>
                <w:szCs w:val="24"/>
              </w:rPr>
              <w:t>nënligjore</w:t>
            </w:r>
            <w:r w:rsidRPr="000D3717">
              <w:rPr>
                <w:rFonts w:ascii="Times New Roman" w:hAnsi="Times New Roman" w:cs="Times New Roman"/>
                <w:sz w:val="24"/>
                <w:szCs w:val="24"/>
              </w:rPr>
              <w:t xml:space="preserve"> nga AKK; MTI </w:t>
            </w:r>
            <w:r w:rsidR="003D1043"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spon</w:t>
            </w:r>
            <w:r w:rsidR="003E43EE">
              <w:rPr>
                <w:rFonts w:ascii="Times New Roman" w:hAnsi="Times New Roman" w:cs="Times New Roman"/>
                <w:sz w:val="24"/>
                <w:szCs w:val="24"/>
              </w:rPr>
              <w:t>s</w:t>
            </w:r>
            <w:r w:rsidRPr="000D3717">
              <w:rPr>
                <w:rFonts w:ascii="Times New Roman" w:hAnsi="Times New Roman" w:cs="Times New Roman"/>
                <w:sz w:val="24"/>
                <w:szCs w:val="24"/>
              </w:rPr>
              <w:t>or</w:t>
            </w:r>
            <w:r w:rsidR="003E43EE">
              <w:rPr>
                <w:rFonts w:ascii="Times New Roman" w:hAnsi="Times New Roman" w:cs="Times New Roman"/>
                <w:sz w:val="24"/>
                <w:szCs w:val="24"/>
              </w:rPr>
              <w:t>iz</w:t>
            </w:r>
            <w:r w:rsidRPr="000D3717">
              <w:rPr>
                <w:rFonts w:ascii="Times New Roman" w:hAnsi="Times New Roman" w:cs="Times New Roman"/>
                <w:sz w:val="24"/>
                <w:szCs w:val="24"/>
              </w:rPr>
              <w:t>ues</w:t>
            </w:r>
            <w:proofErr w:type="spellEnd"/>
            <w:r w:rsidRPr="000D3717">
              <w:rPr>
                <w:rFonts w:ascii="Times New Roman" w:hAnsi="Times New Roman" w:cs="Times New Roman"/>
                <w:sz w:val="24"/>
                <w:szCs w:val="24"/>
              </w:rPr>
              <w:t xml:space="preserve"> i </w:t>
            </w:r>
            <w:r w:rsidR="003D1043" w:rsidRPr="000D3717">
              <w:rPr>
                <w:rFonts w:ascii="Times New Roman" w:hAnsi="Times New Roman" w:cs="Times New Roman"/>
                <w:sz w:val="24"/>
                <w:szCs w:val="24"/>
              </w:rPr>
              <w:t>kornizës</w:t>
            </w:r>
            <w:r w:rsidRPr="000D3717">
              <w:rPr>
                <w:rFonts w:ascii="Times New Roman" w:hAnsi="Times New Roman" w:cs="Times New Roman"/>
                <w:sz w:val="24"/>
                <w:szCs w:val="24"/>
              </w:rPr>
              <w:t xml:space="preserve"> ligjore.</w:t>
            </w:r>
          </w:p>
        </w:tc>
      </w:tr>
      <w:tr w:rsidR="008B6EDC" w:rsidRPr="000D3717" w14:paraId="5E4105D0" w14:textId="77777777" w:rsidTr="00695808">
        <w:trPr>
          <w:jc w:val="center"/>
        </w:trPr>
        <w:tc>
          <w:tcPr>
            <w:tcW w:w="2920" w:type="dxa"/>
          </w:tcPr>
          <w:p w14:paraId="3E7F10E0" w14:textId="77777777" w:rsidR="008B6EDC" w:rsidRPr="000D3717" w:rsidRDefault="008B6EDC"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Udhëzim administrativ nr. 05/2012 për kriteret dhe kushtet për caktimin e marrëveshjeve me vlerë të vogël</w:t>
            </w:r>
          </w:p>
        </w:tc>
        <w:tc>
          <w:tcPr>
            <w:tcW w:w="1890" w:type="dxa"/>
          </w:tcPr>
          <w:p w14:paraId="2BB73EF6"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Gazeta Zyrtare (</w:t>
            </w:r>
            <w:hyperlink r:id="rId20" w:history="1">
              <w:r w:rsidRPr="000D3717">
                <w:rPr>
                  <w:rStyle w:val="Hyperlink"/>
                  <w:rFonts w:ascii="Times New Roman" w:hAnsi="Times New Roman" w:cs="Times New Roman"/>
                  <w:sz w:val="24"/>
                  <w:szCs w:val="24"/>
                </w:rPr>
                <w:t>https://gzk.rks-gov.net/</w:t>
              </w:r>
            </w:hyperlink>
            <w:r w:rsidRPr="000D3717">
              <w:rPr>
                <w:rFonts w:ascii="Times New Roman" w:hAnsi="Times New Roman" w:cs="Times New Roman"/>
                <w:sz w:val="24"/>
                <w:szCs w:val="24"/>
              </w:rPr>
              <w:t xml:space="preserve">) </w:t>
            </w:r>
          </w:p>
        </w:tc>
        <w:tc>
          <w:tcPr>
            <w:tcW w:w="2369" w:type="dxa"/>
          </w:tcPr>
          <w:p w14:paraId="2FF73830"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Ministria e Tregtisë dhe Industrisë</w:t>
            </w:r>
          </w:p>
        </w:tc>
        <w:tc>
          <w:tcPr>
            <w:tcW w:w="2446" w:type="dxa"/>
          </w:tcPr>
          <w:p w14:paraId="3A335497"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Zbatimi dhe implementimi i ligjeve dhe akteve nënligjore nga AKK; MTI është </w:t>
            </w:r>
            <w:proofErr w:type="spellStart"/>
            <w:r w:rsidRPr="000D3717">
              <w:rPr>
                <w:rFonts w:ascii="Times New Roman" w:hAnsi="Times New Roman" w:cs="Times New Roman"/>
                <w:sz w:val="24"/>
                <w:szCs w:val="24"/>
              </w:rPr>
              <w:t>sponzorues</w:t>
            </w:r>
            <w:proofErr w:type="spellEnd"/>
            <w:r w:rsidRPr="000D3717">
              <w:rPr>
                <w:rFonts w:ascii="Times New Roman" w:hAnsi="Times New Roman" w:cs="Times New Roman"/>
                <w:sz w:val="24"/>
                <w:szCs w:val="24"/>
              </w:rPr>
              <w:t xml:space="preserve"> i kornizës ligjore.</w:t>
            </w:r>
          </w:p>
        </w:tc>
      </w:tr>
      <w:tr w:rsidR="008B6EDC" w:rsidRPr="000D3717" w14:paraId="07814C0F" w14:textId="77777777" w:rsidTr="00695808">
        <w:trPr>
          <w:jc w:val="center"/>
        </w:trPr>
        <w:tc>
          <w:tcPr>
            <w:tcW w:w="2920" w:type="dxa"/>
          </w:tcPr>
          <w:p w14:paraId="7F88D80C" w14:textId="77777777" w:rsidR="008B6EDC" w:rsidRPr="000D3717" w:rsidRDefault="008B6EDC"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Udhëzim administrativ nr. 06/2012 për mënyrën e paraqitjes së kërkesës dhe kriteret për konstatimin e përqendrimit</w:t>
            </w:r>
          </w:p>
        </w:tc>
        <w:tc>
          <w:tcPr>
            <w:tcW w:w="1890" w:type="dxa"/>
          </w:tcPr>
          <w:p w14:paraId="3FD53C3F"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Gazeta Zyrtare (</w:t>
            </w:r>
            <w:hyperlink r:id="rId21" w:history="1">
              <w:r w:rsidRPr="000D3717">
                <w:rPr>
                  <w:rStyle w:val="Hyperlink"/>
                  <w:rFonts w:ascii="Times New Roman" w:hAnsi="Times New Roman" w:cs="Times New Roman"/>
                  <w:sz w:val="24"/>
                  <w:szCs w:val="24"/>
                </w:rPr>
                <w:t>https://gzk.rks-gov.net/</w:t>
              </w:r>
            </w:hyperlink>
            <w:r w:rsidRPr="000D3717">
              <w:rPr>
                <w:rFonts w:ascii="Times New Roman" w:hAnsi="Times New Roman" w:cs="Times New Roman"/>
                <w:sz w:val="24"/>
                <w:szCs w:val="24"/>
              </w:rPr>
              <w:t xml:space="preserve">) </w:t>
            </w:r>
          </w:p>
        </w:tc>
        <w:tc>
          <w:tcPr>
            <w:tcW w:w="2369" w:type="dxa"/>
          </w:tcPr>
          <w:p w14:paraId="72750856"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Ministria e Tregtisë dhe Industrisë</w:t>
            </w:r>
          </w:p>
        </w:tc>
        <w:tc>
          <w:tcPr>
            <w:tcW w:w="2446" w:type="dxa"/>
          </w:tcPr>
          <w:p w14:paraId="0ECDC813" w14:textId="77777777" w:rsidR="008B6EDC" w:rsidRPr="000D3717" w:rsidRDefault="008B6EDC" w:rsidP="003E43EE">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Zbatimi dhe implementimi i ligjeve dhe akteve nënligjore nga AKK; MTI është </w:t>
            </w:r>
            <w:proofErr w:type="spellStart"/>
            <w:r w:rsidR="003E43EE" w:rsidRPr="000D3717">
              <w:rPr>
                <w:rFonts w:ascii="Times New Roman" w:hAnsi="Times New Roman" w:cs="Times New Roman"/>
                <w:sz w:val="24"/>
                <w:szCs w:val="24"/>
              </w:rPr>
              <w:t>spon</w:t>
            </w:r>
            <w:r w:rsidR="003E43EE">
              <w:rPr>
                <w:rFonts w:ascii="Times New Roman" w:hAnsi="Times New Roman" w:cs="Times New Roman"/>
                <w:sz w:val="24"/>
                <w:szCs w:val="24"/>
              </w:rPr>
              <w:t>s</w:t>
            </w:r>
            <w:r w:rsidR="003E43EE" w:rsidRPr="000D3717">
              <w:rPr>
                <w:rFonts w:ascii="Times New Roman" w:hAnsi="Times New Roman" w:cs="Times New Roman"/>
                <w:sz w:val="24"/>
                <w:szCs w:val="24"/>
              </w:rPr>
              <w:t>or</w:t>
            </w:r>
            <w:r w:rsidR="003E43EE">
              <w:rPr>
                <w:rFonts w:ascii="Times New Roman" w:hAnsi="Times New Roman" w:cs="Times New Roman"/>
                <w:sz w:val="24"/>
                <w:szCs w:val="24"/>
              </w:rPr>
              <w:t>iz</w:t>
            </w:r>
            <w:r w:rsidR="003E43EE" w:rsidRPr="000D3717">
              <w:rPr>
                <w:rFonts w:ascii="Times New Roman" w:hAnsi="Times New Roman" w:cs="Times New Roman"/>
                <w:sz w:val="24"/>
                <w:szCs w:val="24"/>
              </w:rPr>
              <w:t>ues</w:t>
            </w:r>
            <w:proofErr w:type="spellEnd"/>
            <w:r w:rsidR="003E43EE" w:rsidRPr="000D3717" w:rsidDel="003E43EE">
              <w:rPr>
                <w:rFonts w:ascii="Times New Roman" w:hAnsi="Times New Roman" w:cs="Times New Roman"/>
                <w:sz w:val="24"/>
                <w:szCs w:val="24"/>
              </w:rPr>
              <w:t xml:space="preserve"> </w:t>
            </w:r>
            <w:r w:rsidRPr="000D3717">
              <w:rPr>
                <w:rFonts w:ascii="Times New Roman" w:hAnsi="Times New Roman" w:cs="Times New Roman"/>
                <w:sz w:val="24"/>
                <w:szCs w:val="24"/>
              </w:rPr>
              <w:t>i kornizës ligjore.</w:t>
            </w:r>
          </w:p>
        </w:tc>
      </w:tr>
      <w:tr w:rsidR="008B6EDC" w:rsidRPr="000D3717" w14:paraId="4B99453E" w14:textId="77777777" w:rsidTr="00695808">
        <w:trPr>
          <w:jc w:val="center"/>
        </w:trPr>
        <w:tc>
          <w:tcPr>
            <w:tcW w:w="2920" w:type="dxa"/>
          </w:tcPr>
          <w:p w14:paraId="064F960C" w14:textId="77777777" w:rsidR="008B6EDC" w:rsidRPr="000D3717" w:rsidRDefault="008B6EDC"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Udhëzim administrativ </w:t>
            </w:r>
            <w:r w:rsidRPr="000D3717">
              <w:rPr>
                <w:rFonts w:ascii="Times New Roman" w:hAnsi="Times New Roman" w:cs="Times New Roman"/>
                <w:sz w:val="24"/>
                <w:szCs w:val="24"/>
              </w:rPr>
              <w:lastRenderedPageBreak/>
              <w:t>nr. 07/2012 mbi kriteret për lirimin ose uljen e masës administrative</w:t>
            </w:r>
          </w:p>
        </w:tc>
        <w:tc>
          <w:tcPr>
            <w:tcW w:w="1890" w:type="dxa"/>
          </w:tcPr>
          <w:p w14:paraId="363BFF7C"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lastRenderedPageBreak/>
              <w:t xml:space="preserve">Gazeta Zyrtare </w:t>
            </w:r>
            <w:r w:rsidRPr="000D3717">
              <w:rPr>
                <w:rFonts w:ascii="Times New Roman" w:hAnsi="Times New Roman" w:cs="Times New Roman"/>
                <w:sz w:val="24"/>
                <w:szCs w:val="24"/>
              </w:rPr>
              <w:lastRenderedPageBreak/>
              <w:t>(</w:t>
            </w:r>
            <w:hyperlink r:id="rId22" w:history="1">
              <w:r w:rsidRPr="000D3717">
                <w:rPr>
                  <w:rStyle w:val="Hyperlink"/>
                  <w:rFonts w:ascii="Times New Roman" w:hAnsi="Times New Roman" w:cs="Times New Roman"/>
                  <w:sz w:val="24"/>
                  <w:szCs w:val="24"/>
                </w:rPr>
                <w:t>https://gzk.rks-gov.net/</w:t>
              </w:r>
            </w:hyperlink>
            <w:r w:rsidRPr="000D3717">
              <w:rPr>
                <w:rFonts w:ascii="Times New Roman" w:hAnsi="Times New Roman" w:cs="Times New Roman"/>
                <w:sz w:val="24"/>
                <w:szCs w:val="24"/>
              </w:rPr>
              <w:t xml:space="preserve">) </w:t>
            </w:r>
          </w:p>
        </w:tc>
        <w:tc>
          <w:tcPr>
            <w:tcW w:w="2369" w:type="dxa"/>
          </w:tcPr>
          <w:p w14:paraId="36C50992"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lastRenderedPageBreak/>
              <w:t xml:space="preserve">Autoriteti Kosovar i </w:t>
            </w:r>
            <w:r w:rsidRPr="000D3717">
              <w:rPr>
                <w:rFonts w:ascii="Times New Roman" w:hAnsi="Times New Roman" w:cs="Times New Roman"/>
                <w:sz w:val="24"/>
                <w:szCs w:val="24"/>
              </w:rPr>
              <w:lastRenderedPageBreak/>
              <w:t>Konkurrencës; Ministria e Tregtisë dhe Industrisë</w:t>
            </w:r>
          </w:p>
        </w:tc>
        <w:tc>
          <w:tcPr>
            <w:tcW w:w="2446" w:type="dxa"/>
          </w:tcPr>
          <w:p w14:paraId="400CF17E" w14:textId="77777777" w:rsidR="008B6EDC" w:rsidRPr="000D3717" w:rsidRDefault="008B6EDC" w:rsidP="003E43EE">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lastRenderedPageBreak/>
              <w:t xml:space="preserve">Zbatimi dhe </w:t>
            </w:r>
            <w:r w:rsidRPr="000D3717">
              <w:rPr>
                <w:rFonts w:ascii="Times New Roman" w:hAnsi="Times New Roman" w:cs="Times New Roman"/>
                <w:sz w:val="24"/>
                <w:szCs w:val="24"/>
              </w:rPr>
              <w:lastRenderedPageBreak/>
              <w:t xml:space="preserve">implementimi i ligjeve dhe akteve nënligjore nga AKK; MTI është </w:t>
            </w:r>
            <w:proofErr w:type="spellStart"/>
            <w:r w:rsidR="003E43EE" w:rsidRPr="000D3717">
              <w:rPr>
                <w:rFonts w:ascii="Times New Roman" w:hAnsi="Times New Roman" w:cs="Times New Roman"/>
                <w:sz w:val="24"/>
                <w:szCs w:val="24"/>
              </w:rPr>
              <w:t>spon</w:t>
            </w:r>
            <w:r w:rsidR="003E43EE">
              <w:rPr>
                <w:rFonts w:ascii="Times New Roman" w:hAnsi="Times New Roman" w:cs="Times New Roman"/>
                <w:sz w:val="24"/>
                <w:szCs w:val="24"/>
              </w:rPr>
              <w:t>s</w:t>
            </w:r>
            <w:r w:rsidR="003E43EE" w:rsidRPr="000D3717">
              <w:rPr>
                <w:rFonts w:ascii="Times New Roman" w:hAnsi="Times New Roman" w:cs="Times New Roman"/>
                <w:sz w:val="24"/>
                <w:szCs w:val="24"/>
              </w:rPr>
              <w:t>or</w:t>
            </w:r>
            <w:r w:rsidR="003E43EE">
              <w:rPr>
                <w:rFonts w:ascii="Times New Roman" w:hAnsi="Times New Roman" w:cs="Times New Roman"/>
                <w:sz w:val="24"/>
                <w:szCs w:val="24"/>
              </w:rPr>
              <w:t>iz</w:t>
            </w:r>
            <w:r w:rsidR="003E43EE" w:rsidRPr="000D3717">
              <w:rPr>
                <w:rFonts w:ascii="Times New Roman" w:hAnsi="Times New Roman" w:cs="Times New Roman"/>
                <w:sz w:val="24"/>
                <w:szCs w:val="24"/>
              </w:rPr>
              <w:t>ues</w:t>
            </w:r>
            <w:proofErr w:type="spellEnd"/>
            <w:r w:rsidR="003E43EE" w:rsidRPr="000D3717" w:rsidDel="003E43EE">
              <w:rPr>
                <w:rFonts w:ascii="Times New Roman" w:hAnsi="Times New Roman" w:cs="Times New Roman"/>
                <w:sz w:val="24"/>
                <w:szCs w:val="24"/>
              </w:rPr>
              <w:t xml:space="preserve"> </w:t>
            </w:r>
            <w:r w:rsidRPr="000D3717">
              <w:rPr>
                <w:rFonts w:ascii="Times New Roman" w:hAnsi="Times New Roman" w:cs="Times New Roman"/>
                <w:sz w:val="24"/>
                <w:szCs w:val="24"/>
              </w:rPr>
              <w:t>i kornizës ligjore.</w:t>
            </w:r>
          </w:p>
        </w:tc>
      </w:tr>
      <w:tr w:rsidR="008B6EDC" w:rsidRPr="000D3717" w14:paraId="6953B78F" w14:textId="77777777" w:rsidTr="00695808">
        <w:trPr>
          <w:jc w:val="center"/>
        </w:trPr>
        <w:tc>
          <w:tcPr>
            <w:tcW w:w="2920" w:type="dxa"/>
          </w:tcPr>
          <w:p w14:paraId="52022687" w14:textId="77777777" w:rsidR="008B6EDC" w:rsidRPr="000D3717" w:rsidRDefault="008B6EDC" w:rsidP="00695808">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lastRenderedPageBreak/>
              <w:t>Statuti i AKK nr.04-V-312</w:t>
            </w:r>
          </w:p>
        </w:tc>
        <w:tc>
          <w:tcPr>
            <w:tcW w:w="1890" w:type="dxa"/>
          </w:tcPr>
          <w:p w14:paraId="378CDC10"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3"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31E3358B"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7489E644"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9414C53" w14:textId="77777777" w:rsidTr="008B6EDC">
        <w:trPr>
          <w:jc w:val="center"/>
        </w:trPr>
        <w:tc>
          <w:tcPr>
            <w:tcW w:w="2920" w:type="dxa"/>
          </w:tcPr>
          <w:p w14:paraId="4BB5E8B4" w14:textId="332001EC" w:rsidR="008B6EDC" w:rsidRPr="000D3717" w:rsidRDefault="003E43EE"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Udhëzimi</w:t>
            </w:r>
            <w:r w:rsidR="008B6EDC" w:rsidRPr="000D3717">
              <w:rPr>
                <w:rFonts w:ascii="Times New Roman" w:hAnsi="Times New Roman" w:cs="Times New Roman"/>
                <w:sz w:val="24"/>
                <w:szCs w:val="24"/>
              </w:rPr>
              <w:t xml:space="preserve"> Administrativ nr.02/2011 Mbi mënyrën dhe kriteret</w:t>
            </w:r>
            <w:r w:rsidR="00C17F8E">
              <w:rPr>
                <w:rFonts w:ascii="Times New Roman" w:hAnsi="Times New Roman" w:cs="Times New Roman"/>
                <w:sz w:val="24"/>
                <w:szCs w:val="24"/>
              </w:rPr>
              <w:t xml:space="preserve"> për </w:t>
            </w:r>
            <w:r w:rsidR="008B6EDC" w:rsidRPr="000D3717">
              <w:rPr>
                <w:rFonts w:ascii="Times New Roman" w:hAnsi="Times New Roman" w:cs="Times New Roman"/>
                <w:sz w:val="24"/>
                <w:szCs w:val="24"/>
              </w:rPr>
              <w:t>konstatimin E tregut përkatës-relevant</w:t>
            </w:r>
          </w:p>
        </w:tc>
        <w:tc>
          <w:tcPr>
            <w:tcW w:w="1890" w:type="dxa"/>
          </w:tcPr>
          <w:p w14:paraId="1CAD0F9E"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4"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363CEC27"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5A3C6025"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622689DD" w14:textId="77777777" w:rsidTr="008B6EDC">
        <w:trPr>
          <w:jc w:val="center"/>
        </w:trPr>
        <w:tc>
          <w:tcPr>
            <w:tcW w:w="2920" w:type="dxa"/>
          </w:tcPr>
          <w:p w14:paraId="3919E0AC" w14:textId="77777777" w:rsidR="008B6EDC" w:rsidRPr="000D3717" w:rsidRDefault="003E43EE"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Udhëzimi</w:t>
            </w:r>
            <w:r w:rsidR="008B6EDC" w:rsidRPr="000D3717">
              <w:rPr>
                <w:rFonts w:ascii="Times New Roman" w:hAnsi="Times New Roman" w:cs="Times New Roman"/>
                <w:sz w:val="24"/>
                <w:szCs w:val="24"/>
              </w:rPr>
              <w:t xml:space="preserve"> Administrativ nr.03/2011 mbi kriteret </w:t>
            </w:r>
            <w:r w:rsidRPr="000D3717">
              <w:rPr>
                <w:rFonts w:ascii="Times New Roman" w:hAnsi="Times New Roman" w:cs="Times New Roman"/>
                <w:sz w:val="24"/>
                <w:szCs w:val="24"/>
              </w:rPr>
              <w:t>për shqiptimin</w:t>
            </w:r>
            <w:r w:rsidR="008B6EDC" w:rsidRPr="000D3717">
              <w:rPr>
                <w:rFonts w:ascii="Times New Roman" w:hAnsi="Times New Roman" w:cs="Times New Roman"/>
                <w:sz w:val="24"/>
                <w:szCs w:val="24"/>
              </w:rPr>
              <w:t xml:space="preserve"> </w:t>
            </w:r>
            <w:r>
              <w:rPr>
                <w:rFonts w:ascii="Times New Roman" w:hAnsi="Times New Roman" w:cs="Times New Roman"/>
                <w:sz w:val="24"/>
                <w:szCs w:val="24"/>
              </w:rPr>
              <w:t>e</w:t>
            </w:r>
            <w:r w:rsidR="008B6EDC" w:rsidRPr="000D3717">
              <w:rPr>
                <w:rFonts w:ascii="Times New Roman" w:hAnsi="Times New Roman" w:cs="Times New Roman"/>
                <w:sz w:val="24"/>
                <w:szCs w:val="24"/>
              </w:rPr>
              <w:t xml:space="preserve"> masës se sanksioneve administrative, </w:t>
            </w:r>
          </w:p>
        </w:tc>
        <w:tc>
          <w:tcPr>
            <w:tcW w:w="1890" w:type="dxa"/>
          </w:tcPr>
          <w:p w14:paraId="30CCFC21"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5"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42F14911"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3D8CEB2A"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49538FBA" w14:textId="77777777" w:rsidTr="008B6EDC">
        <w:trPr>
          <w:jc w:val="center"/>
        </w:trPr>
        <w:tc>
          <w:tcPr>
            <w:tcW w:w="2920" w:type="dxa"/>
          </w:tcPr>
          <w:p w14:paraId="7B83DACB" w14:textId="6DF68210"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Rregullore nr.01/2016 mbi kushtet dhe Rregullat e përdorimit</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automjeteve zyrtare,</w:t>
            </w:r>
          </w:p>
        </w:tc>
        <w:tc>
          <w:tcPr>
            <w:tcW w:w="1890" w:type="dxa"/>
          </w:tcPr>
          <w:p w14:paraId="0C6D9316"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6"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62B077D9"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26F2BD44"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C421327" w14:textId="77777777" w:rsidTr="008B6EDC">
        <w:trPr>
          <w:jc w:val="center"/>
        </w:trPr>
        <w:tc>
          <w:tcPr>
            <w:tcW w:w="2920" w:type="dxa"/>
          </w:tcPr>
          <w:p w14:paraId="25BDAAFD" w14:textId="4A9B7842" w:rsidR="008B6EDC" w:rsidRPr="000D3717" w:rsidRDefault="008B6EDC" w:rsidP="008753CB">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Rregullore nr.02/2016 e punës se Komisionit </w:t>
            </w:r>
            <w:proofErr w:type="spellStart"/>
            <w:r w:rsidR="008753CB">
              <w:rPr>
                <w:rFonts w:ascii="Times New Roman" w:hAnsi="Times New Roman" w:cs="Times New Roman"/>
                <w:sz w:val="24"/>
                <w:szCs w:val="24"/>
              </w:rPr>
              <w:t>të</w:t>
            </w:r>
            <w:r w:rsidRPr="000D3717">
              <w:rPr>
                <w:rFonts w:ascii="Times New Roman" w:hAnsi="Times New Roman" w:cs="Times New Roman"/>
                <w:sz w:val="24"/>
                <w:szCs w:val="24"/>
              </w:rPr>
              <w:t>e</w:t>
            </w:r>
            <w:proofErr w:type="spellEnd"/>
            <w:r w:rsidRPr="000D3717">
              <w:rPr>
                <w:rFonts w:ascii="Times New Roman" w:hAnsi="Times New Roman" w:cs="Times New Roman"/>
                <w:sz w:val="24"/>
                <w:szCs w:val="24"/>
              </w:rPr>
              <w:t xml:space="preserve"> Autoritetit Kosovare</w:t>
            </w:r>
            <w:r w:rsidR="008753CB">
              <w:rPr>
                <w:rFonts w:ascii="Times New Roman" w:hAnsi="Times New Roman" w:cs="Times New Roman"/>
                <w:sz w:val="24"/>
                <w:szCs w:val="24"/>
              </w:rPr>
              <w:t xml:space="preserve"> të </w:t>
            </w:r>
            <w:proofErr w:type="spellStart"/>
            <w:r w:rsidR="008753CB" w:rsidRPr="000D3717">
              <w:rPr>
                <w:rFonts w:ascii="Times New Roman" w:hAnsi="Times New Roman" w:cs="Times New Roman"/>
                <w:sz w:val="24"/>
                <w:szCs w:val="24"/>
              </w:rPr>
              <w:t>t</w:t>
            </w:r>
            <w:r w:rsidR="008753CB">
              <w:rPr>
                <w:rFonts w:ascii="Times New Roman" w:hAnsi="Times New Roman" w:cs="Times New Roman"/>
                <w:sz w:val="24"/>
                <w:szCs w:val="24"/>
              </w:rPr>
              <w:t>ë</w:t>
            </w:r>
            <w:proofErr w:type="spellEnd"/>
            <w:r w:rsidR="008753CB">
              <w:rPr>
                <w:rFonts w:ascii="Times New Roman" w:hAnsi="Times New Roman" w:cs="Times New Roman"/>
                <w:sz w:val="24"/>
                <w:szCs w:val="24"/>
              </w:rPr>
              <w:t xml:space="preserve"> </w:t>
            </w:r>
            <w:r w:rsidRPr="000D3717">
              <w:rPr>
                <w:rFonts w:ascii="Times New Roman" w:hAnsi="Times New Roman" w:cs="Times New Roman"/>
                <w:sz w:val="24"/>
                <w:szCs w:val="24"/>
              </w:rPr>
              <w:t>Konkurrencës,</w:t>
            </w:r>
          </w:p>
        </w:tc>
        <w:tc>
          <w:tcPr>
            <w:tcW w:w="1890" w:type="dxa"/>
          </w:tcPr>
          <w:p w14:paraId="78556C45"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7"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00279466"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0974ADF4"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45C6FD12" w14:textId="77777777" w:rsidTr="008B6EDC">
        <w:trPr>
          <w:jc w:val="center"/>
        </w:trPr>
        <w:tc>
          <w:tcPr>
            <w:tcW w:w="2920" w:type="dxa"/>
          </w:tcPr>
          <w:p w14:paraId="6DE59925" w14:textId="374B3768"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 xml:space="preserve">Rregullore 01/2017 </w:t>
            </w:r>
            <w:r w:rsidR="008753CB"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procedurat hetimore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AKK,</w:t>
            </w:r>
          </w:p>
        </w:tc>
        <w:tc>
          <w:tcPr>
            <w:tcW w:w="1890" w:type="dxa"/>
          </w:tcPr>
          <w:p w14:paraId="1C311721"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8"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22511C0A"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1CAD7750"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4908EDC3" w14:textId="77777777" w:rsidTr="008B6EDC">
        <w:trPr>
          <w:jc w:val="center"/>
        </w:trPr>
        <w:tc>
          <w:tcPr>
            <w:tcW w:w="2920" w:type="dxa"/>
          </w:tcPr>
          <w:p w14:paraId="7DE7808A" w14:textId="27CA255E"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t>Udhezimi</w:t>
            </w:r>
            <w:proofErr w:type="spellEnd"/>
            <w:r w:rsidRPr="000D3717">
              <w:rPr>
                <w:rFonts w:ascii="Times New Roman" w:hAnsi="Times New Roman" w:cs="Times New Roman"/>
                <w:sz w:val="24"/>
                <w:szCs w:val="24"/>
              </w:rPr>
              <w:t xml:space="preserve"> Administrativ nr.02/2017</w:t>
            </w:r>
            <w:r w:rsidR="00C17F8E">
              <w:rPr>
                <w:rFonts w:ascii="Times New Roman" w:hAnsi="Times New Roman" w:cs="Times New Roman"/>
                <w:sz w:val="24"/>
                <w:szCs w:val="24"/>
              </w:rPr>
              <w:t xml:space="preserve"> për </w:t>
            </w:r>
            <w:r w:rsidRPr="000D3717">
              <w:rPr>
                <w:rFonts w:ascii="Times New Roman" w:hAnsi="Times New Roman" w:cs="Times New Roman"/>
                <w:sz w:val="24"/>
                <w:szCs w:val="24"/>
              </w:rPr>
              <w:t>përjashtimin grupor</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Marrëveshjeve horizontale ndërmjet Ndërmarrësve,</w:t>
            </w:r>
          </w:p>
        </w:tc>
        <w:tc>
          <w:tcPr>
            <w:tcW w:w="1890" w:type="dxa"/>
          </w:tcPr>
          <w:p w14:paraId="353B28A4"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29"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3992F4D2"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55C6DC94"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B06368F" w14:textId="77777777" w:rsidTr="008B6EDC">
        <w:trPr>
          <w:jc w:val="center"/>
        </w:trPr>
        <w:tc>
          <w:tcPr>
            <w:tcW w:w="2920" w:type="dxa"/>
          </w:tcPr>
          <w:p w14:paraId="76961D11" w14:textId="054A8BF4"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t>Udhezimi</w:t>
            </w:r>
            <w:proofErr w:type="spellEnd"/>
            <w:r w:rsidRPr="000D3717">
              <w:rPr>
                <w:rFonts w:ascii="Times New Roman" w:hAnsi="Times New Roman" w:cs="Times New Roman"/>
                <w:sz w:val="24"/>
                <w:szCs w:val="24"/>
              </w:rPr>
              <w:t xml:space="preserve"> Administrativ nr.03/2017 mbi përjashtimet grupore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marrëveshjeve vertikale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ndërmarrësve,</w:t>
            </w:r>
          </w:p>
        </w:tc>
        <w:tc>
          <w:tcPr>
            <w:tcW w:w="1890" w:type="dxa"/>
          </w:tcPr>
          <w:p w14:paraId="77E5FD19"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0"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4D2BA5E3"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1E87CE68"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1612A503" w14:textId="77777777" w:rsidTr="008B6EDC">
        <w:trPr>
          <w:jc w:val="center"/>
        </w:trPr>
        <w:tc>
          <w:tcPr>
            <w:tcW w:w="2920" w:type="dxa"/>
          </w:tcPr>
          <w:p w14:paraId="1867F06E" w14:textId="32269CB5"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lastRenderedPageBreak/>
              <w:t>Udhezimi</w:t>
            </w:r>
            <w:proofErr w:type="spellEnd"/>
            <w:r w:rsidRPr="000D3717">
              <w:rPr>
                <w:rFonts w:ascii="Times New Roman" w:hAnsi="Times New Roman" w:cs="Times New Roman"/>
                <w:sz w:val="24"/>
                <w:szCs w:val="24"/>
              </w:rPr>
              <w:t xml:space="preserve"> Administrativ nr.04/2017 </w:t>
            </w:r>
            <w:r w:rsidR="008753CB"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përjashtimet grupore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Marrëveshjeve ne sektorin e transportit,</w:t>
            </w:r>
          </w:p>
        </w:tc>
        <w:tc>
          <w:tcPr>
            <w:tcW w:w="1890" w:type="dxa"/>
          </w:tcPr>
          <w:p w14:paraId="667F75B0"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1"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42D2D6F3"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2D8D0557"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E62E3D1" w14:textId="77777777" w:rsidTr="008B6EDC">
        <w:trPr>
          <w:jc w:val="center"/>
        </w:trPr>
        <w:tc>
          <w:tcPr>
            <w:tcW w:w="2920" w:type="dxa"/>
          </w:tcPr>
          <w:p w14:paraId="645125BA" w14:textId="2CE7CC38"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t>Udhezimi</w:t>
            </w:r>
            <w:proofErr w:type="spellEnd"/>
            <w:r w:rsidRPr="000D3717">
              <w:rPr>
                <w:rFonts w:ascii="Times New Roman" w:hAnsi="Times New Roman" w:cs="Times New Roman"/>
                <w:sz w:val="24"/>
                <w:szCs w:val="24"/>
              </w:rPr>
              <w:t xml:space="preserve"> Administrativ nr.05/2017</w:t>
            </w:r>
            <w:r w:rsidR="00C17F8E">
              <w:rPr>
                <w:rFonts w:ascii="Times New Roman" w:hAnsi="Times New Roman" w:cs="Times New Roman"/>
                <w:sz w:val="24"/>
                <w:szCs w:val="24"/>
              </w:rPr>
              <w:t xml:space="preserve"> për </w:t>
            </w:r>
            <w:r w:rsidRPr="000D3717">
              <w:rPr>
                <w:rFonts w:ascii="Times New Roman" w:hAnsi="Times New Roman" w:cs="Times New Roman"/>
                <w:sz w:val="24"/>
                <w:szCs w:val="24"/>
              </w:rPr>
              <w:t>përjashtimet grupore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Marrëveshjeve ne sektorin e sigurimeve,</w:t>
            </w:r>
          </w:p>
        </w:tc>
        <w:tc>
          <w:tcPr>
            <w:tcW w:w="1890" w:type="dxa"/>
          </w:tcPr>
          <w:p w14:paraId="18212EE8"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2"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4C11480E"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4E062FC1"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41F5E454" w14:textId="77777777" w:rsidTr="008B6EDC">
        <w:trPr>
          <w:jc w:val="center"/>
        </w:trPr>
        <w:tc>
          <w:tcPr>
            <w:tcW w:w="2920" w:type="dxa"/>
          </w:tcPr>
          <w:p w14:paraId="12CAA790" w14:textId="534E2E68"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proofErr w:type="spellStart"/>
            <w:r w:rsidRPr="000D3717">
              <w:rPr>
                <w:rFonts w:ascii="Times New Roman" w:hAnsi="Times New Roman" w:cs="Times New Roman"/>
                <w:sz w:val="24"/>
                <w:szCs w:val="24"/>
              </w:rPr>
              <w:t>Udhezimi</w:t>
            </w:r>
            <w:proofErr w:type="spellEnd"/>
            <w:r w:rsidRPr="000D3717">
              <w:rPr>
                <w:rFonts w:ascii="Times New Roman" w:hAnsi="Times New Roman" w:cs="Times New Roman"/>
                <w:sz w:val="24"/>
                <w:szCs w:val="24"/>
              </w:rPr>
              <w:t xml:space="preserve"> Administrativ nr. 06/2017</w:t>
            </w:r>
            <w:r w:rsidR="00C17F8E">
              <w:rPr>
                <w:rFonts w:ascii="Times New Roman" w:hAnsi="Times New Roman" w:cs="Times New Roman"/>
                <w:sz w:val="24"/>
                <w:szCs w:val="24"/>
              </w:rPr>
              <w:t xml:space="preserve"> për </w:t>
            </w:r>
            <w:r w:rsidRPr="000D3717">
              <w:rPr>
                <w:rFonts w:ascii="Times New Roman" w:hAnsi="Times New Roman" w:cs="Times New Roman"/>
                <w:sz w:val="24"/>
                <w:szCs w:val="24"/>
              </w:rPr>
              <w:t>përjashtimin grupor</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Marrëveshjes</w:t>
            </w:r>
            <w:r w:rsidR="00C17F8E">
              <w:rPr>
                <w:rFonts w:ascii="Times New Roman" w:hAnsi="Times New Roman" w:cs="Times New Roman"/>
                <w:sz w:val="24"/>
                <w:szCs w:val="24"/>
              </w:rPr>
              <w:t xml:space="preserve"> për </w:t>
            </w:r>
            <w:proofErr w:type="spellStart"/>
            <w:r w:rsidRPr="000D3717">
              <w:rPr>
                <w:rFonts w:ascii="Times New Roman" w:hAnsi="Times New Roman" w:cs="Times New Roman"/>
                <w:sz w:val="24"/>
                <w:szCs w:val="24"/>
              </w:rPr>
              <w:t>distribuim</w:t>
            </w:r>
            <w:proofErr w:type="spellEnd"/>
            <w:r w:rsidRPr="000D3717">
              <w:rPr>
                <w:rFonts w:ascii="Times New Roman" w:hAnsi="Times New Roman" w:cs="Times New Roman"/>
                <w:sz w:val="24"/>
                <w:szCs w:val="24"/>
              </w:rPr>
              <w:t xml:space="preserve"> dhe </w:t>
            </w:r>
            <w:proofErr w:type="spellStart"/>
            <w:r w:rsidRPr="000D3717">
              <w:rPr>
                <w:rFonts w:ascii="Times New Roman" w:hAnsi="Times New Roman" w:cs="Times New Roman"/>
                <w:sz w:val="24"/>
                <w:szCs w:val="24"/>
              </w:rPr>
              <w:t>servisim</w:t>
            </w:r>
            <w:proofErr w:type="spellEnd"/>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Automjeteve motorike,</w:t>
            </w:r>
          </w:p>
        </w:tc>
        <w:tc>
          <w:tcPr>
            <w:tcW w:w="1890" w:type="dxa"/>
          </w:tcPr>
          <w:p w14:paraId="038B029A"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3"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06EF85C5"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2DEB9668"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8134CE1" w14:textId="77777777" w:rsidTr="008B6EDC">
        <w:trPr>
          <w:jc w:val="center"/>
        </w:trPr>
        <w:tc>
          <w:tcPr>
            <w:tcW w:w="2920" w:type="dxa"/>
          </w:tcPr>
          <w:p w14:paraId="11454E79" w14:textId="210B8243"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Kodi i mirësjelljes</w:t>
            </w:r>
            <w:r w:rsidR="00C17F8E">
              <w:rPr>
                <w:rFonts w:ascii="Times New Roman" w:hAnsi="Times New Roman" w:cs="Times New Roman"/>
                <w:sz w:val="24"/>
                <w:szCs w:val="24"/>
              </w:rPr>
              <w:t xml:space="preserve"> për </w:t>
            </w:r>
            <w:r w:rsidRPr="000D3717">
              <w:rPr>
                <w:rFonts w:ascii="Times New Roman" w:hAnsi="Times New Roman" w:cs="Times New Roman"/>
                <w:sz w:val="24"/>
                <w:szCs w:val="24"/>
              </w:rPr>
              <w:t>Autoritetin Kosovar</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konkurrencës,</w:t>
            </w:r>
          </w:p>
        </w:tc>
        <w:tc>
          <w:tcPr>
            <w:tcW w:w="1890" w:type="dxa"/>
          </w:tcPr>
          <w:p w14:paraId="2AE03746"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4"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76B53E8F"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222DF4C1"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r w:rsidR="008B6EDC" w:rsidRPr="000D3717" w14:paraId="544549A0" w14:textId="77777777" w:rsidTr="008B6EDC">
        <w:trPr>
          <w:jc w:val="center"/>
        </w:trPr>
        <w:tc>
          <w:tcPr>
            <w:tcW w:w="2920" w:type="dxa"/>
          </w:tcPr>
          <w:p w14:paraId="7779397D" w14:textId="128D0FDB" w:rsidR="008B6EDC" w:rsidRPr="000D3717" w:rsidRDefault="008B6EDC" w:rsidP="003A7470">
            <w:pPr>
              <w:pStyle w:val="ListParagraph"/>
              <w:numPr>
                <w:ilvl w:val="0"/>
                <w:numId w:val="33"/>
              </w:num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Rregullore nr.03.20189</w:t>
            </w:r>
            <w:r w:rsidR="00C17F8E">
              <w:rPr>
                <w:rFonts w:ascii="Times New Roman" w:hAnsi="Times New Roman" w:cs="Times New Roman"/>
                <w:sz w:val="24"/>
                <w:szCs w:val="24"/>
              </w:rPr>
              <w:t xml:space="preserve"> për </w:t>
            </w:r>
            <w:proofErr w:type="spellStart"/>
            <w:r w:rsidRPr="000D3717">
              <w:rPr>
                <w:rFonts w:ascii="Times New Roman" w:hAnsi="Times New Roman" w:cs="Times New Roman"/>
                <w:sz w:val="24"/>
                <w:szCs w:val="24"/>
              </w:rPr>
              <w:t>org.e</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brendeshem</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sis.e</w:t>
            </w:r>
            <w:proofErr w:type="spellEnd"/>
            <w:r w:rsidRPr="000D3717">
              <w:rPr>
                <w:rFonts w:ascii="Times New Roman" w:hAnsi="Times New Roman" w:cs="Times New Roman"/>
                <w:sz w:val="24"/>
                <w:szCs w:val="24"/>
              </w:rPr>
              <w:t xml:space="preserve"> vendeve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punës dhe përshkrimin e detyrave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punës ne Sekretariatin e AKK</w:t>
            </w:r>
          </w:p>
        </w:tc>
        <w:tc>
          <w:tcPr>
            <w:tcW w:w="1890" w:type="dxa"/>
          </w:tcPr>
          <w:p w14:paraId="009F63E1"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Autoriteti Kosovar i Konkurrencës (</w:t>
            </w:r>
            <w:hyperlink r:id="rId35" w:history="1">
              <w:r w:rsidRPr="000D3717">
                <w:rPr>
                  <w:rStyle w:val="Hyperlink"/>
                  <w:rFonts w:ascii="Times New Roman" w:hAnsi="Times New Roman" w:cs="Times New Roman"/>
                  <w:sz w:val="24"/>
                  <w:szCs w:val="24"/>
                </w:rPr>
                <w:t>https://ak.rks-gov.net/ballina</w:t>
              </w:r>
            </w:hyperlink>
            <w:r w:rsidRPr="000D3717">
              <w:rPr>
                <w:rFonts w:ascii="Times New Roman" w:hAnsi="Times New Roman" w:cs="Times New Roman"/>
                <w:sz w:val="24"/>
                <w:szCs w:val="24"/>
              </w:rPr>
              <w:t>)</w:t>
            </w:r>
          </w:p>
        </w:tc>
        <w:tc>
          <w:tcPr>
            <w:tcW w:w="2369" w:type="dxa"/>
          </w:tcPr>
          <w:p w14:paraId="7DC75EC4" w14:textId="77777777" w:rsidR="008B6EDC" w:rsidRPr="000D3717" w:rsidRDefault="008B6EDC" w:rsidP="00DE3B44">
            <w:pPr>
              <w:spacing w:after="0" w:line="240" w:lineRule="auto"/>
              <w:rPr>
                <w:rStyle w:val="CommentReference"/>
                <w:rFonts w:ascii="Times New Roman" w:hAnsi="Times New Roman" w:cs="Times New Roman"/>
                <w:sz w:val="24"/>
                <w:szCs w:val="24"/>
              </w:rPr>
            </w:pPr>
            <w:r w:rsidRPr="000D3717">
              <w:rPr>
                <w:rFonts w:ascii="Times New Roman" w:hAnsi="Times New Roman" w:cs="Times New Roman"/>
                <w:sz w:val="24"/>
                <w:szCs w:val="24"/>
              </w:rPr>
              <w:t>Autoriteti Kosovar i Konkurrencës</w:t>
            </w:r>
          </w:p>
        </w:tc>
        <w:tc>
          <w:tcPr>
            <w:tcW w:w="2446" w:type="dxa"/>
          </w:tcPr>
          <w:p w14:paraId="648B6F9A" w14:textId="77777777" w:rsidR="008B6EDC" w:rsidRPr="000D3717" w:rsidRDefault="008B6EDC" w:rsidP="00DE3B44">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Zbatimi dhe implementimi</w:t>
            </w:r>
          </w:p>
        </w:tc>
      </w:tr>
    </w:tbl>
    <w:p w14:paraId="0126616F" w14:textId="77777777" w:rsidR="00A22B1A" w:rsidRPr="000D3717" w:rsidRDefault="00A22B1A" w:rsidP="0075339D">
      <w:pPr>
        <w:rPr>
          <w:rFonts w:ascii="Times New Roman" w:hAnsi="Times New Roman" w:cs="Times New Roman"/>
          <w:sz w:val="24"/>
          <w:szCs w:val="24"/>
        </w:rPr>
      </w:pPr>
    </w:p>
    <w:p w14:paraId="38749ECA" w14:textId="77777777" w:rsidR="0032167D" w:rsidRDefault="0032167D" w:rsidP="0075339D">
      <w:pPr>
        <w:rPr>
          <w:rFonts w:ascii="Times New Roman" w:hAnsi="Times New Roman" w:cs="Times New Roman"/>
          <w:sz w:val="24"/>
          <w:szCs w:val="24"/>
        </w:rPr>
      </w:pPr>
    </w:p>
    <w:p w14:paraId="2E04410B" w14:textId="77777777" w:rsidR="00341D3A" w:rsidRDefault="00341D3A" w:rsidP="0075339D">
      <w:pPr>
        <w:rPr>
          <w:rFonts w:ascii="Times New Roman" w:hAnsi="Times New Roman" w:cs="Times New Roman"/>
          <w:sz w:val="24"/>
          <w:szCs w:val="24"/>
        </w:rPr>
      </w:pPr>
    </w:p>
    <w:p w14:paraId="7440200E" w14:textId="77777777" w:rsidR="00341D3A" w:rsidRDefault="00341D3A" w:rsidP="0075339D">
      <w:pPr>
        <w:rPr>
          <w:rFonts w:ascii="Times New Roman" w:hAnsi="Times New Roman" w:cs="Times New Roman"/>
          <w:sz w:val="24"/>
          <w:szCs w:val="24"/>
        </w:rPr>
      </w:pPr>
    </w:p>
    <w:p w14:paraId="5B1AA9DA" w14:textId="77777777" w:rsidR="00341D3A" w:rsidRDefault="00341D3A" w:rsidP="0075339D">
      <w:pPr>
        <w:rPr>
          <w:rFonts w:ascii="Times New Roman" w:hAnsi="Times New Roman" w:cs="Times New Roman"/>
          <w:sz w:val="24"/>
          <w:szCs w:val="24"/>
        </w:rPr>
      </w:pPr>
    </w:p>
    <w:p w14:paraId="28F2F846" w14:textId="77777777" w:rsidR="00341D3A" w:rsidRDefault="00341D3A" w:rsidP="0075339D">
      <w:pPr>
        <w:rPr>
          <w:rFonts w:ascii="Times New Roman" w:hAnsi="Times New Roman" w:cs="Times New Roman"/>
          <w:sz w:val="24"/>
          <w:szCs w:val="24"/>
        </w:rPr>
      </w:pPr>
    </w:p>
    <w:p w14:paraId="0C2B545F" w14:textId="77777777" w:rsidR="00341D3A" w:rsidRDefault="00341D3A" w:rsidP="0075339D">
      <w:pPr>
        <w:rPr>
          <w:rFonts w:ascii="Times New Roman" w:hAnsi="Times New Roman" w:cs="Times New Roman"/>
          <w:sz w:val="24"/>
          <w:szCs w:val="24"/>
        </w:rPr>
      </w:pPr>
    </w:p>
    <w:p w14:paraId="75508A2A" w14:textId="77777777" w:rsidR="00341D3A" w:rsidRDefault="00341D3A" w:rsidP="0075339D">
      <w:pPr>
        <w:rPr>
          <w:rFonts w:ascii="Times New Roman" w:hAnsi="Times New Roman" w:cs="Times New Roman"/>
          <w:sz w:val="24"/>
          <w:szCs w:val="24"/>
        </w:rPr>
      </w:pPr>
    </w:p>
    <w:p w14:paraId="2DD15C4E" w14:textId="77777777" w:rsidR="00341D3A" w:rsidRDefault="00341D3A" w:rsidP="0075339D">
      <w:pPr>
        <w:rPr>
          <w:rFonts w:ascii="Times New Roman" w:hAnsi="Times New Roman" w:cs="Times New Roman"/>
          <w:sz w:val="24"/>
          <w:szCs w:val="24"/>
        </w:rPr>
      </w:pPr>
    </w:p>
    <w:p w14:paraId="53CED74E" w14:textId="77777777" w:rsidR="00341D3A" w:rsidRPr="000D3717" w:rsidRDefault="00341D3A" w:rsidP="0075339D">
      <w:pPr>
        <w:rPr>
          <w:rFonts w:ascii="Times New Roman" w:hAnsi="Times New Roman" w:cs="Times New Roman"/>
          <w:sz w:val="24"/>
          <w:szCs w:val="24"/>
        </w:rPr>
      </w:pPr>
    </w:p>
    <w:p w14:paraId="6CFC7F73" w14:textId="77777777" w:rsidR="001C22EB" w:rsidRPr="000D3717" w:rsidRDefault="001C22EB" w:rsidP="0075339D">
      <w:pPr>
        <w:rPr>
          <w:rFonts w:ascii="Times New Roman" w:hAnsi="Times New Roman" w:cs="Times New Roman"/>
          <w:sz w:val="24"/>
          <w:szCs w:val="24"/>
        </w:rPr>
      </w:pPr>
    </w:p>
    <w:p w14:paraId="2DB262CD" w14:textId="77777777" w:rsidR="00063448" w:rsidRPr="000D3717" w:rsidRDefault="00063448" w:rsidP="00063448">
      <w:pPr>
        <w:pStyle w:val="Caption"/>
        <w:rPr>
          <w:rFonts w:ascii="Times New Roman" w:hAnsi="Times New Roman" w:cs="Times New Roman"/>
          <w:sz w:val="24"/>
          <w:szCs w:val="24"/>
        </w:rPr>
      </w:pPr>
      <w:r w:rsidRPr="000D3717">
        <w:rPr>
          <w:rFonts w:ascii="Times New Roman" w:hAnsi="Times New Roman" w:cs="Times New Roman"/>
          <w:sz w:val="24"/>
          <w:szCs w:val="24"/>
        </w:rPr>
        <w:lastRenderedPageBreak/>
        <w:t>Figur</w:t>
      </w:r>
      <w:r w:rsidR="00162D8C"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265AA7" w:rsidRPr="000D3717">
        <w:rPr>
          <w:rFonts w:ascii="Times New Roman" w:hAnsi="Times New Roman" w:cs="Times New Roman"/>
          <w:sz w:val="24"/>
          <w:szCs w:val="24"/>
        </w:rPr>
        <w:t>4</w:t>
      </w:r>
      <w:r w:rsidRPr="000D3717">
        <w:rPr>
          <w:rFonts w:ascii="Times New Roman" w:hAnsi="Times New Roman" w:cs="Times New Roman"/>
          <w:sz w:val="24"/>
          <w:szCs w:val="24"/>
        </w:rPr>
        <w:t>: P</w:t>
      </w:r>
      <w:r w:rsidR="001E3DB1" w:rsidRPr="000D3717">
        <w:rPr>
          <w:rFonts w:ascii="Times New Roman" w:hAnsi="Times New Roman" w:cs="Times New Roman"/>
          <w:sz w:val="24"/>
          <w:szCs w:val="24"/>
        </w:rPr>
        <w:t xml:space="preserve">ema e problemit, që paraqet problemin kryesor, shkaqet e tij dhe </w:t>
      </w:r>
      <w:r w:rsidR="00937A2C" w:rsidRPr="000D3717">
        <w:rPr>
          <w:rFonts w:ascii="Times New Roman" w:hAnsi="Times New Roman" w:cs="Times New Roman"/>
          <w:sz w:val="24"/>
          <w:szCs w:val="24"/>
        </w:rPr>
        <w:t>efektet</w:t>
      </w:r>
    </w:p>
    <w:tbl>
      <w:tblPr>
        <w:tblStyle w:val="TableGrid"/>
        <w:tblW w:w="0" w:type="auto"/>
        <w:jc w:val="center"/>
        <w:tblLook w:val="04A0" w:firstRow="1" w:lastRow="0" w:firstColumn="1" w:lastColumn="0" w:noHBand="0" w:noVBand="1"/>
      </w:tblPr>
      <w:tblGrid>
        <w:gridCol w:w="1638"/>
        <w:gridCol w:w="7938"/>
      </w:tblGrid>
      <w:tr w:rsidR="007B53FE" w:rsidRPr="000D3717" w14:paraId="267EFCA0" w14:textId="77777777" w:rsidTr="001C7171">
        <w:trPr>
          <w:jc w:val="center"/>
        </w:trPr>
        <w:tc>
          <w:tcPr>
            <w:tcW w:w="1638" w:type="dxa"/>
            <w:vMerge w:val="restart"/>
            <w:tcBorders>
              <w:top w:val="single" w:sz="4" w:space="0" w:color="auto"/>
              <w:left w:val="single" w:sz="4" w:space="0" w:color="auto"/>
              <w:right w:val="single" w:sz="4" w:space="0" w:color="auto"/>
            </w:tcBorders>
            <w:vAlign w:val="center"/>
          </w:tcPr>
          <w:p w14:paraId="2F852E69" w14:textId="77777777" w:rsidR="007B53FE" w:rsidRPr="000D3717" w:rsidRDefault="007B53FE">
            <w:pPr>
              <w:jc w:val="center"/>
              <w:rPr>
                <w:rFonts w:ascii="Times New Roman" w:hAnsi="Times New Roman" w:cs="Times New Roman"/>
                <w:b/>
                <w:sz w:val="24"/>
                <w:szCs w:val="24"/>
              </w:rPr>
            </w:pPr>
            <w:r w:rsidRPr="000D3717">
              <w:rPr>
                <w:rFonts w:ascii="Times New Roman" w:hAnsi="Times New Roman" w:cs="Times New Roman"/>
                <w:b/>
                <w:sz w:val="24"/>
                <w:szCs w:val="24"/>
              </w:rPr>
              <w:t>EFEKTET</w:t>
            </w:r>
          </w:p>
        </w:tc>
        <w:tc>
          <w:tcPr>
            <w:tcW w:w="7938" w:type="dxa"/>
            <w:tcBorders>
              <w:left w:val="single" w:sz="4" w:space="0" w:color="auto"/>
            </w:tcBorders>
          </w:tcPr>
          <w:p w14:paraId="2352471E" w14:textId="77777777" w:rsidR="007B53FE" w:rsidRPr="000D3717" w:rsidRDefault="007B53FE" w:rsidP="00835D2A">
            <w:pPr>
              <w:rPr>
                <w:rFonts w:ascii="Times New Roman" w:hAnsi="Times New Roman" w:cs="Times New Roman"/>
                <w:b/>
                <w:color w:val="767171" w:themeColor="background2" w:themeShade="80"/>
                <w:sz w:val="24"/>
                <w:szCs w:val="24"/>
              </w:rPr>
            </w:pPr>
            <w:r w:rsidRPr="000D3717">
              <w:rPr>
                <w:rFonts w:ascii="Times New Roman" w:hAnsi="Times New Roman" w:cs="Times New Roman"/>
                <w:b/>
                <w:color w:val="8496B0" w:themeColor="text2" w:themeTint="99"/>
                <w:sz w:val="24"/>
                <w:szCs w:val="24"/>
              </w:rPr>
              <w:t>RREGULLAT JANË TË PA KOMPLETUARA</w:t>
            </w:r>
            <w:r w:rsidRPr="000D3717">
              <w:rPr>
                <w:rFonts w:ascii="Times New Roman" w:hAnsi="Times New Roman" w:cs="Times New Roman"/>
                <w:b/>
                <w:color w:val="767171" w:themeColor="background2" w:themeShade="80"/>
                <w:sz w:val="24"/>
                <w:szCs w:val="24"/>
              </w:rPr>
              <w:t xml:space="preserve"> </w:t>
            </w:r>
          </w:p>
        </w:tc>
      </w:tr>
      <w:tr w:rsidR="007B53FE" w:rsidRPr="000D3717" w14:paraId="01C00C87" w14:textId="77777777" w:rsidTr="001C7171">
        <w:trPr>
          <w:jc w:val="center"/>
        </w:trPr>
        <w:tc>
          <w:tcPr>
            <w:tcW w:w="1638" w:type="dxa"/>
            <w:vMerge/>
            <w:tcBorders>
              <w:left w:val="single" w:sz="4" w:space="0" w:color="auto"/>
              <w:right w:val="single" w:sz="4" w:space="0" w:color="auto"/>
            </w:tcBorders>
          </w:tcPr>
          <w:p w14:paraId="70AE5ED6"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6C793A57"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Krijohen vakume ligjore dhe institucionale të cilat ndikojnë në vendimmarrjen e punës së A</w:t>
            </w:r>
            <w:r w:rsidR="00F8376E" w:rsidRPr="000D3717">
              <w:rPr>
                <w:rFonts w:ascii="Times New Roman" w:hAnsi="Times New Roman" w:cs="Times New Roman"/>
                <w:sz w:val="24"/>
                <w:szCs w:val="24"/>
              </w:rPr>
              <w:t>KK</w:t>
            </w:r>
            <w:r w:rsidR="003E43EE">
              <w:rPr>
                <w:rFonts w:ascii="Times New Roman" w:hAnsi="Times New Roman" w:cs="Times New Roman"/>
                <w:sz w:val="24"/>
                <w:szCs w:val="24"/>
              </w:rPr>
              <w:t>-së</w:t>
            </w:r>
          </w:p>
        </w:tc>
      </w:tr>
      <w:tr w:rsidR="007B53FE" w:rsidRPr="000D3717" w14:paraId="61BB162C" w14:textId="77777777" w:rsidTr="001C7171">
        <w:trPr>
          <w:jc w:val="center"/>
        </w:trPr>
        <w:tc>
          <w:tcPr>
            <w:tcW w:w="1638" w:type="dxa"/>
            <w:vMerge/>
            <w:tcBorders>
              <w:left w:val="single" w:sz="4" w:space="0" w:color="auto"/>
              <w:right w:val="single" w:sz="4" w:space="0" w:color="auto"/>
            </w:tcBorders>
          </w:tcPr>
          <w:p w14:paraId="3FAD4054"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7489B393"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Çrregullim i tregut të lir</w:t>
            </w:r>
            <w:r w:rsidR="003E43EE">
              <w:rPr>
                <w:rFonts w:ascii="Times New Roman" w:hAnsi="Times New Roman" w:cs="Times New Roman"/>
                <w:sz w:val="24"/>
                <w:szCs w:val="24"/>
              </w:rPr>
              <w:t>ë</w:t>
            </w:r>
            <w:r w:rsidRPr="000D3717">
              <w:rPr>
                <w:rFonts w:ascii="Times New Roman" w:hAnsi="Times New Roman" w:cs="Times New Roman"/>
                <w:sz w:val="24"/>
                <w:szCs w:val="24"/>
              </w:rPr>
              <w:t xml:space="preserve"> duke dëmtuar konsumatorin dhe funksionin e ndërmarrjeve</w:t>
            </w:r>
          </w:p>
        </w:tc>
      </w:tr>
      <w:tr w:rsidR="007B53FE" w:rsidRPr="000D3717" w14:paraId="7D1A411A" w14:textId="77777777" w:rsidTr="001C7171">
        <w:trPr>
          <w:jc w:val="center"/>
        </w:trPr>
        <w:tc>
          <w:tcPr>
            <w:tcW w:w="1638" w:type="dxa"/>
            <w:vMerge/>
            <w:tcBorders>
              <w:left w:val="single" w:sz="4" w:space="0" w:color="auto"/>
              <w:right w:val="single" w:sz="4" w:space="0" w:color="auto"/>
            </w:tcBorders>
          </w:tcPr>
          <w:p w14:paraId="614E74EB"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19E83A88"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 xml:space="preserve">Krijohen </w:t>
            </w:r>
            <w:proofErr w:type="spellStart"/>
            <w:r w:rsidRPr="000D3717">
              <w:rPr>
                <w:rFonts w:ascii="Times New Roman" w:hAnsi="Times New Roman" w:cs="Times New Roman"/>
                <w:sz w:val="24"/>
                <w:szCs w:val="24"/>
              </w:rPr>
              <w:t>konfuzitete</w:t>
            </w:r>
            <w:proofErr w:type="spellEnd"/>
            <w:r w:rsidRPr="000D3717">
              <w:rPr>
                <w:rFonts w:ascii="Times New Roman" w:hAnsi="Times New Roman" w:cs="Times New Roman"/>
                <w:sz w:val="24"/>
                <w:szCs w:val="24"/>
              </w:rPr>
              <w:t xml:space="preserve">, pasiguri juridike dhe </w:t>
            </w:r>
            <w:proofErr w:type="spellStart"/>
            <w:r w:rsidRPr="000D3717">
              <w:rPr>
                <w:rFonts w:ascii="Times New Roman" w:hAnsi="Times New Roman" w:cs="Times New Roman"/>
                <w:sz w:val="24"/>
                <w:szCs w:val="24"/>
              </w:rPr>
              <w:t>dublifikim</w:t>
            </w:r>
            <w:proofErr w:type="spellEnd"/>
            <w:r w:rsidRPr="000D3717">
              <w:rPr>
                <w:rFonts w:ascii="Times New Roman" w:hAnsi="Times New Roman" w:cs="Times New Roman"/>
                <w:sz w:val="24"/>
                <w:szCs w:val="24"/>
              </w:rPr>
              <w:t xml:space="preserve"> i vendimeve</w:t>
            </w:r>
          </w:p>
        </w:tc>
      </w:tr>
      <w:tr w:rsidR="007B53FE" w:rsidRPr="000D3717" w14:paraId="5CAC350E" w14:textId="77777777" w:rsidTr="001C7171">
        <w:trPr>
          <w:jc w:val="center"/>
        </w:trPr>
        <w:tc>
          <w:tcPr>
            <w:tcW w:w="1638" w:type="dxa"/>
            <w:vMerge/>
            <w:tcBorders>
              <w:left w:val="single" w:sz="4" w:space="0" w:color="auto"/>
              <w:right w:val="single" w:sz="4" w:space="0" w:color="auto"/>
            </w:tcBorders>
          </w:tcPr>
          <w:p w14:paraId="73409082"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0EF4B40E"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Krijohen vakume institucionale në pozita të cilat ndikojnë në funksionimin e A</w:t>
            </w:r>
            <w:r w:rsidR="00F8376E" w:rsidRPr="000D3717">
              <w:rPr>
                <w:rFonts w:ascii="Times New Roman" w:hAnsi="Times New Roman" w:cs="Times New Roman"/>
                <w:sz w:val="24"/>
                <w:szCs w:val="24"/>
              </w:rPr>
              <w:t>KK</w:t>
            </w:r>
            <w:r w:rsidR="003E43EE">
              <w:rPr>
                <w:rFonts w:ascii="Times New Roman" w:hAnsi="Times New Roman" w:cs="Times New Roman"/>
                <w:sz w:val="24"/>
                <w:szCs w:val="24"/>
              </w:rPr>
              <w:t>-së</w:t>
            </w:r>
          </w:p>
        </w:tc>
      </w:tr>
      <w:tr w:rsidR="007B53FE" w:rsidRPr="000D3717" w14:paraId="380D7A94" w14:textId="77777777" w:rsidTr="001C7171">
        <w:trPr>
          <w:jc w:val="center"/>
        </w:trPr>
        <w:tc>
          <w:tcPr>
            <w:tcW w:w="1638" w:type="dxa"/>
            <w:vMerge/>
            <w:tcBorders>
              <w:left w:val="single" w:sz="4" w:space="0" w:color="auto"/>
              <w:right w:val="single" w:sz="4" w:space="0" w:color="auto"/>
            </w:tcBorders>
          </w:tcPr>
          <w:p w14:paraId="557C4E39"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1CD1CF61" w14:textId="77777777" w:rsidR="007B53FE" w:rsidRPr="000D3717" w:rsidRDefault="004976EC"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Zvarritj</w:t>
            </w:r>
            <w:r w:rsidR="003E43EE">
              <w:rPr>
                <w:rFonts w:ascii="Times New Roman" w:hAnsi="Times New Roman" w:cs="Times New Roman"/>
                <w:sz w:val="24"/>
                <w:szCs w:val="24"/>
              </w:rPr>
              <w:t>a</w:t>
            </w:r>
            <w:r w:rsidR="007B53FE" w:rsidRPr="000D3717">
              <w:rPr>
                <w:rFonts w:ascii="Times New Roman" w:hAnsi="Times New Roman" w:cs="Times New Roman"/>
                <w:sz w:val="24"/>
                <w:szCs w:val="24"/>
              </w:rPr>
              <w:t xml:space="preserve"> e lëndëve nëpër gjykata, zvogëlon rolin ekzekutiv të autoritetit, cenon konkurrencën dhe tregun e lir</w:t>
            </w:r>
            <w:r w:rsidR="003E43EE">
              <w:rPr>
                <w:rFonts w:ascii="Times New Roman" w:hAnsi="Times New Roman" w:cs="Times New Roman"/>
                <w:sz w:val="24"/>
                <w:szCs w:val="24"/>
              </w:rPr>
              <w:t>ë</w:t>
            </w:r>
            <w:r w:rsidR="007B53FE" w:rsidRPr="000D3717">
              <w:rPr>
                <w:rFonts w:ascii="Times New Roman" w:hAnsi="Times New Roman" w:cs="Times New Roman"/>
                <w:sz w:val="24"/>
                <w:szCs w:val="24"/>
              </w:rPr>
              <w:t>.</w:t>
            </w:r>
          </w:p>
        </w:tc>
      </w:tr>
      <w:tr w:rsidR="007B53FE" w:rsidRPr="000D3717" w14:paraId="73C5CFB9" w14:textId="77777777" w:rsidTr="001C7171">
        <w:trPr>
          <w:jc w:val="center"/>
        </w:trPr>
        <w:tc>
          <w:tcPr>
            <w:tcW w:w="1638" w:type="dxa"/>
            <w:vMerge/>
            <w:tcBorders>
              <w:left w:val="single" w:sz="4" w:space="0" w:color="auto"/>
              <w:right w:val="single" w:sz="4" w:space="0" w:color="auto"/>
            </w:tcBorders>
          </w:tcPr>
          <w:p w14:paraId="78245E66"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264658B5"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sz w:val="24"/>
                <w:szCs w:val="24"/>
              </w:rPr>
              <w:t xml:space="preserve">Mos efikasitet në zhvillimin e procedurave hetimore </w:t>
            </w:r>
          </w:p>
        </w:tc>
      </w:tr>
      <w:tr w:rsidR="007B53FE" w:rsidRPr="000D3717" w14:paraId="2B59D7A9" w14:textId="77777777" w:rsidTr="001C7171">
        <w:trPr>
          <w:jc w:val="center"/>
        </w:trPr>
        <w:tc>
          <w:tcPr>
            <w:tcW w:w="1638" w:type="dxa"/>
            <w:vMerge/>
            <w:tcBorders>
              <w:left w:val="single" w:sz="4" w:space="0" w:color="auto"/>
              <w:right w:val="single" w:sz="4" w:space="0" w:color="auto"/>
            </w:tcBorders>
          </w:tcPr>
          <w:p w14:paraId="06BEE05A"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auto"/>
          </w:tcPr>
          <w:p w14:paraId="63B17EC9" w14:textId="77777777" w:rsidR="007B53FE" w:rsidRPr="000D3717" w:rsidRDefault="007B53FE" w:rsidP="00695808">
            <w:pPr>
              <w:pStyle w:val="ListParagraph"/>
              <w:ind w:left="0"/>
              <w:jc w:val="both"/>
              <w:rPr>
                <w:rFonts w:ascii="Times New Roman" w:hAnsi="Times New Roman" w:cs="Times New Roman"/>
                <w:sz w:val="24"/>
                <w:szCs w:val="24"/>
              </w:rPr>
            </w:pPr>
            <w:r w:rsidRPr="000D3717">
              <w:rPr>
                <w:rFonts w:ascii="Times New Roman" w:hAnsi="Times New Roman" w:cs="Times New Roman"/>
                <w:b/>
                <w:color w:val="00B050"/>
                <w:sz w:val="24"/>
                <w:szCs w:val="24"/>
              </w:rPr>
              <w:t>RREGULLAT NUK JANË MË TË NEVOJSHME</w:t>
            </w:r>
          </w:p>
        </w:tc>
      </w:tr>
      <w:tr w:rsidR="007B53FE" w:rsidRPr="000D3717" w14:paraId="2F098904" w14:textId="77777777" w:rsidTr="00695808">
        <w:trPr>
          <w:jc w:val="center"/>
        </w:trPr>
        <w:tc>
          <w:tcPr>
            <w:tcW w:w="1638" w:type="dxa"/>
            <w:vMerge/>
            <w:tcBorders>
              <w:left w:val="single" w:sz="4" w:space="0" w:color="auto"/>
              <w:bottom w:val="single" w:sz="4" w:space="0" w:color="auto"/>
              <w:right w:val="single" w:sz="4" w:space="0" w:color="auto"/>
            </w:tcBorders>
          </w:tcPr>
          <w:p w14:paraId="30B344CA" w14:textId="77777777" w:rsidR="007B53FE" w:rsidRPr="000D3717" w:rsidRDefault="007B53FE" w:rsidP="00835D2A">
            <w:pPr>
              <w:jc w:val="center"/>
              <w:rPr>
                <w:rFonts w:ascii="Times New Roman" w:hAnsi="Times New Roman" w:cs="Times New Roman"/>
                <w:b/>
                <w:sz w:val="24"/>
                <w:szCs w:val="24"/>
              </w:rPr>
            </w:pPr>
          </w:p>
        </w:tc>
        <w:tc>
          <w:tcPr>
            <w:tcW w:w="7938" w:type="dxa"/>
            <w:tcBorders>
              <w:left w:val="single" w:sz="4" w:space="0" w:color="auto"/>
            </w:tcBorders>
            <w:shd w:val="clear" w:color="auto" w:fill="D9D9D9" w:themeFill="background1" w:themeFillShade="D9"/>
          </w:tcPr>
          <w:p w14:paraId="6862BD6A" w14:textId="77777777" w:rsidR="007B53FE" w:rsidRPr="000D3717" w:rsidRDefault="007B53FE" w:rsidP="00870176">
            <w:pPr>
              <w:pStyle w:val="ListParagraph"/>
              <w:numPr>
                <w:ilvl w:val="0"/>
                <w:numId w:val="19"/>
              </w:numPr>
              <w:jc w:val="both"/>
              <w:rPr>
                <w:rFonts w:ascii="Times New Roman" w:hAnsi="Times New Roman" w:cs="Times New Roman"/>
                <w:sz w:val="24"/>
                <w:szCs w:val="24"/>
              </w:rPr>
            </w:pPr>
            <w:r w:rsidRPr="000D3717">
              <w:rPr>
                <w:rFonts w:ascii="Times New Roman" w:hAnsi="Times New Roman" w:cs="Times New Roman"/>
                <w:color w:val="000000" w:themeColor="text1"/>
                <w:sz w:val="24"/>
                <w:szCs w:val="24"/>
              </w:rPr>
              <w:t>Krijohen paqartësi sa i përket kompetencave institucionale.</w:t>
            </w:r>
          </w:p>
        </w:tc>
      </w:tr>
      <w:tr w:rsidR="00375B0F" w:rsidRPr="000D3717" w14:paraId="6EC9DEDA" w14:textId="77777777" w:rsidTr="00695808">
        <w:trPr>
          <w:jc w:val="center"/>
        </w:trPr>
        <w:tc>
          <w:tcPr>
            <w:tcW w:w="1638" w:type="dxa"/>
            <w:tcBorders>
              <w:top w:val="single" w:sz="4" w:space="0" w:color="auto"/>
            </w:tcBorders>
          </w:tcPr>
          <w:p w14:paraId="1BDA1B73" w14:textId="77777777" w:rsidR="00375B0F" w:rsidRPr="000D3717" w:rsidRDefault="00375B0F" w:rsidP="00835D2A">
            <w:pPr>
              <w:jc w:val="center"/>
              <w:rPr>
                <w:rFonts w:ascii="Times New Roman" w:hAnsi="Times New Roman" w:cs="Times New Roman"/>
                <w:b/>
                <w:sz w:val="24"/>
                <w:szCs w:val="24"/>
              </w:rPr>
            </w:pPr>
            <w:r w:rsidRPr="000D3717">
              <w:rPr>
                <w:rFonts w:ascii="Times New Roman" w:hAnsi="Times New Roman" w:cs="Times New Roman"/>
                <w:b/>
                <w:sz w:val="24"/>
                <w:szCs w:val="24"/>
              </w:rPr>
              <w:t>PROBLEMI KRYESOR</w:t>
            </w:r>
          </w:p>
        </w:tc>
        <w:tc>
          <w:tcPr>
            <w:tcW w:w="7938" w:type="dxa"/>
            <w:vAlign w:val="center"/>
          </w:tcPr>
          <w:p w14:paraId="195BB8B6" w14:textId="77777777" w:rsidR="00375B0F" w:rsidRPr="000D3717" w:rsidRDefault="00375B0F" w:rsidP="00695808">
            <w:pPr>
              <w:jc w:val="center"/>
              <w:rPr>
                <w:rFonts w:ascii="Times New Roman" w:hAnsi="Times New Roman" w:cs="Times New Roman"/>
                <w:b/>
                <w:color w:val="767171" w:themeColor="background2" w:themeShade="80"/>
                <w:sz w:val="24"/>
                <w:szCs w:val="24"/>
              </w:rPr>
            </w:pPr>
            <w:r w:rsidRPr="000D3717">
              <w:rPr>
                <w:rFonts w:ascii="Times New Roman" w:hAnsi="Times New Roman" w:cs="Times New Roman"/>
                <w:b/>
                <w:i/>
                <w:sz w:val="24"/>
                <w:szCs w:val="24"/>
              </w:rPr>
              <w:t>Vështirësi në funksionimin e lirë të tregut dhe mbrojtjen e konkurrencës.</w:t>
            </w:r>
          </w:p>
        </w:tc>
      </w:tr>
      <w:tr w:rsidR="00375B0F" w:rsidRPr="000D3717" w14:paraId="53EB6754" w14:textId="77777777" w:rsidTr="00695808">
        <w:trPr>
          <w:trHeight w:val="332"/>
          <w:jc w:val="center"/>
        </w:trPr>
        <w:tc>
          <w:tcPr>
            <w:tcW w:w="1638" w:type="dxa"/>
            <w:vMerge w:val="restart"/>
            <w:vAlign w:val="center"/>
          </w:tcPr>
          <w:p w14:paraId="51774F00" w14:textId="77777777" w:rsidR="00375B0F" w:rsidRPr="000D3717" w:rsidRDefault="00AA1ECC" w:rsidP="00695808">
            <w:pPr>
              <w:jc w:val="center"/>
              <w:rPr>
                <w:rFonts w:ascii="Times New Roman" w:hAnsi="Times New Roman" w:cs="Times New Roman"/>
                <w:sz w:val="24"/>
                <w:szCs w:val="24"/>
              </w:rPr>
            </w:pPr>
            <w:r w:rsidRPr="000D3717">
              <w:rPr>
                <w:rFonts w:ascii="Times New Roman" w:hAnsi="Times New Roman" w:cs="Times New Roman"/>
                <w:b/>
                <w:sz w:val="24"/>
                <w:szCs w:val="24"/>
              </w:rPr>
              <w:t>SHKAQET</w:t>
            </w:r>
          </w:p>
        </w:tc>
        <w:tc>
          <w:tcPr>
            <w:tcW w:w="7938" w:type="dxa"/>
          </w:tcPr>
          <w:p w14:paraId="691E8BF0" w14:textId="77777777" w:rsidR="00375B0F" w:rsidRPr="000D3717" w:rsidRDefault="00375B0F" w:rsidP="005D592D">
            <w:pPr>
              <w:jc w:val="both"/>
              <w:rPr>
                <w:rFonts w:ascii="Times New Roman" w:hAnsi="Times New Roman" w:cs="Times New Roman"/>
                <w:b/>
                <w:color w:val="767171" w:themeColor="background2" w:themeShade="80"/>
                <w:sz w:val="24"/>
                <w:szCs w:val="24"/>
              </w:rPr>
            </w:pPr>
            <w:r w:rsidRPr="000D3717">
              <w:rPr>
                <w:rFonts w:ascii="Times New Roman" w:hAnsi="Times New Roman" w:cs="Times New Roman"/>
                <w:b/>
                <w:color w:val="8496B0" w:themeColor="text2" w:themeTint="99"/>
                <w:sz w:val="24"/>
                <w:szCs w:val="24"/>
              </w:rPr>
              <w:t xml:space="preserve">RREGULLAT JANË TË PA KOMPLETUARA </w:t>
            </w:r>
          </w:p>
        </w:tc>
      </w:tr>
      <w:tr w:rsidR="00375B0F" w:rsidRPr="000D3717" w14:paraId="1BC5B2CD" w14:textId="77777777" w:rsidTr="005D592D">
        <w:trPr>
          <w:jc w:val="center"/>
        </w:trPr>
        <w:tc>
          <w:tcPr>
            <w:tcW w:w="1638" w:type="dxa"/>
            <w:vMerge/>
          </w:tcPr>
          <w:p w14:paraId="08E7E600"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436F315E"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 xml:space="preserve">Mungesë e </w:t>
            </w:r>
            <w:proofErr w:type="spellStart"/>
            <w:r w:rsidRPr="000D3717">
              <w:rPr>
                <w:rFonts w:ascii="Times New Roman" w:hAnsi="Times New Roman" w:cs="Times New Roman"/>
                <w:sz w:val="24"/>
                <w:szCs w:val="24"/>
              </w:rPr>
              <w:t>definimit</w:t>
            </w:r>
            <w:proofErr w:type="spellEnd"/>
            <w:r w:rsidRPr="000D3717">
              <w:rPr>
                <w:rFonts w:ascii="Times New Roman" w:hAnsi="Times New Roman" w:cs="Times New Roman"/>
                <w:sz w:val="24"/>
                <w:szCs w:val="24"/>
              </w:rPr>
              <w:t xml:space="preserve"> ose përcaktimit të kritereve për përjashtime grupore krijon efekte dhe procedura të panevojshme duke ndikuar në efikasitet </w:t>
            </w:r>
          </w:p>
        </w:tc>
      </w:tr>
      <w:tr w:rsidR="00375B0F" w:rsidRPr="000D3717" w14:paraId="3CABF8F7" w14:textId="77777777" w:rsidTr="005D592D">
        <w:trPr>
          <w:jc w:val="center"/>
        </w:trPr>
        <w:tc>
          <w:tcPr>
            <w:tcW w:w="1638" w:type="dxa"/>
            <w:vMerge/>
          </w:tcPr>
          <w:p w14:paraId="0A69192D"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7CF77763"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Mospërputhja me fuqinë ekonomike të tregut dhe operatoreve në tregjet përkatëse (</w:t>
            </w:r>
            <w:proofErr w:type="spellStart"/>
            <w:r w:rsidRPr="000D3717">
              <w:rPr>
                <w:rFonts w:ascii="Times New Roman" w:hAnsi="Times New Roman" w:cs="Times New Roman"/>
                <w:sz w:val="24"/>
                <w:szCs w:val="24"/>
              </w:rPr>
              <w:t>definimi</w:t>
            </w:r>
            <w:proofErr w:type="spellEnd"/>
            <w:r w:rsidRPr="000D3717">
              <w:rPr>
                <w:rFonts w:ascii="Times New Roman" w:hAnsi="Times New Roman" w:cs="Times New Roman"/>
                <w:sz w:val="24"/>
                <w:szCs w:val="24"/>
              </w:rPr>
              <w:t xml:space="preserve"> i pozitës dominuese nga 25% në 40 %)</w:t>
            </w:r>
          </w:p>
        </w:tc>
      </w:tr>
      <w:tr w:rsidR="00375B0F" w:rsidRPr="000D3717" w14:paraId="741AF7F2" w14:textId="77777777" w:rsidTr="005D592D">
        <w:trPr>
          <w:jc w:val="center"/>
        </w:trPr>
        <w:tc>
          <w:tcPr>
            <w:tcW w:w="1638" w:type="dxa"/>
            <w:vMerge/>
          </w:tcPr>
          <w:p w14:paraId="2C7AFA11"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04D82BF5"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Jo harmonizimi i ligjit për Mbrojtjen e Konkurrencës me Ligjet relevante në fuqi.</w:t>
            </w:r>
          </w:p>
        </w:tc>
      </w:tr>
      <w:tr w:rsidR="00375B0F" w:rsidRPr="000D3717" w14:paraId="4ABC338E" w14:textId="77777777" w:rsidTr="005D592D">
        <w:trPr>
          <w:jc w:val="center"/>
        </w:trPr>
        <w:tc>
          <w:tcPr>
            <w:tcW w:w="1638" w:type="dxa"/>
            <w:vMerge/>
          </w:tcPr>
          <w:p w14:paraId="49A6E39E"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22770309"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Mungesa e qartësimit të dispozitave që rregullojnë mandatin e pozitave dhe funksionimin në tërësi të Autoritetit</w:t>
            </w:r>
          </w:p>
        </w:tc>
      </w:tr>
      <w:tr w:rsidR="00375B0F" w:rsidRPr="000D3717" w14:paraId="6A1A411D" w14:textId="77777777" w:rsidTr="005D592D">
        <w:trPr>
          <w:jc w:val="center"/>
        </w:trPr>
        <w:tc>
          <w:tcPr>
            <w:tcW w:w="1638" w:type="dxa"/>
            <w:vMerge/>
          </w:tcPr>
          <w:p w14:paraId="3112ACC6"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347AE7C5"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Vendimet e A</w:t>
            </w:r>
            <w:r w:rsidR="00F8376E" w:rsidRPr="000D3717">
              <w:rPr>
                <w:rFonts w:ascii="Times New Roman" w:hAnsi="Times New Roman" w:cs="Times New Roman"/>
                <w:sz w:val="24"/>
                <w:szCs w:val="24"/>
              </w:rPr>
              <w:t>KK</w:t>
            </w:r>
            <w:r w:rsidRPr="000D3717">
              <w:rPr>
                <w:rFonts w:ascii="Times New Roman" w:hAnsi="Times New Roman" w:cs="Times New Roman"/>
                <w:sz w:val="24"/>
                <w:szCs w:val="24"/>
              </w:rPr>
              <w:t xml:space="preserve"> nuk kan</w:t>
            </w:r>
            <w:r w:rsidR="003E43EE">
              <w:rPr>
                <w:rFonts w:ascii="Times New Roman" w:hAnsi="Times New Roman" w:cs="Times New Roman"/>
                <w:sz w:val="24"/>
                <w:szCs w:val="24"/>
              </w:rPr>
              <w:t>ë</w:t>
            </w:r>
            <w:r w:rsidRPr="000D3717">
              <w:rPr>
                <w:rFonts w:ascii="Times New Roman" w:hAnsi="Times New Roman" w:cs="Times New Roman"/>
                <w:sz w:val="24"/>
                <w:szCs w:val="24"/>
              </w:rPr>
              <w:t xml:space="preserve"> efekt ekzekutues në rast të inicimit konfliktit administrativ. </w:t>
            </w:r>
          </w:p>
        </w:tc>
      </w:tr>
      <w:tr w:rsidR="00375B0F" w:rsidRPr="000D3717" w14:paraId="0D93167E" w14:textId="77777777" w:rsidTr="005D592D">
        <w:trPr>
          <w:jc w:val="center"/>
        </w:trPr>
        <w:tc>
          <w:tcPr>
            <w:tcW w:w="1638" w:type="dxa"/>
            <w:vMerge/>
          </w:tcPr>
          <w:p w14:paraId="0C40D97E" w14:textId="77777777" w:rsidR="00375B0F" w:rsidRPr="000D3717" w:rsidRDefault="00375B0F" w:rsidP="00835D2A">
            <w:pPr>
              <w:rPr>
                <w:rFonts w:ascii="Times New Roman" w:hAnsi="Times New Roman" w:cs="Times New Roman"/>
                <w:sz w:val="24"/>
                <w:szCs w:val="24"/>
              </w:rPr>
            </w:pPr>
          </w:p>
        </w:tc>
        <w:tc>
          <w:tcPr>
            <w:tcW w:w="7938" w:type="dxa"/>
            <w:shd w:val="clear" w:color="auto" w:fill="D5DCE4" w:themeFill="text2" w:themeFillTint="33"/>
          </w:tcPr>
          <w:p w14:paraId="2EE47617"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Procedurat hetimore janë të pa qarta</w:t>
            </w:r>
          </w:p>
        </w:tc>
      </w:tr>
      <w:tr w:rsidR="00375B0F" w:rsidRPr="000D3717" w14:paraId="4ED3B940" w14:textId="77777777" w:rsidTr="005D592D">
        <w:trPr>
          <w:jc w:val="center"/>
        </w:trPr>
        <w:tc>
          <w:tcPr>
            <w:tcW w:w="1638" w:type="dxa"/>
            <w:vMerge/>
          </w:tcPr>
          <w:p w14:paraId="5ED293D9" w14:textId="77777777" w:rsidR="00375B0F" w:rsidRPr="000D3717" w:rsidRDefault="00375B0F" w:rsidP="00835D2A">
            <w:pPr>
              <w:rPr>
                <w:rFonts w:ascii="Times New Roman" w:hAnsi="Times New Roman" w:cs="Times New Roman"/>
                <w:sz w:val="24"/>
                <w:szCs w:val="24"/>
              </w:rPr>
            </w:pPr>
          </w:p>
        </w:tc>
        <w:tc>
          <w:tcPr>
            <w:tcW w:w="7938" w:type="dxa"/>
          </w:tcPr>
          <w:p w14:paraId="4F7ECEE3" w14:textId="77777777" w:rsidR="00375B0F" w:rsidRPr="000D3717" w:rsidRDefault="00375B0F" w:rsidP="005D592D">
            <w:pPr>
              <w:jc w:val="both"/>
              <w:rPr>
                <w:rFonts w:ascii="Times New Roman" w:hAnsi="Times New Roman" w:cs="Times New Roman"/>
                <w:b/>
                <w:sz w:val="24"/>
                <w:szCs w:val="24"/>
              </w:rPr>
            </w:pPr>
            <w:r w:rsidRPr="000D3717">
              <w:rPr>
                <w:rFonts w:ascii="Times New Roman" w:hAnsi="Times New Roman" w:cs="Times New Roman"/>
                <w:b/>
                <w:color w:val="00B050"/>
                <w:sz w:val="24"/>
                <w:szCs w:val="24"/>
              </w:rPr>
              <w:t>RREGULLAT NUK JANË MË TË NEVOJSHME</w:t>
            </w:r>
          </w:p>
        </w:tc>
      </w:tr>
      <w:tr w:rsidR="00375B0F" w:rsidRPr="000D3717" w14:paraId="63235E81" w14:textId="77777777" w:rsidTr="005D592D">
        <w:trPr>
          <w:jc w:val="center"/>
        </w:trPr>
        <w:tc>
          <w:tcPr>
            <w:tcW w:w="1638" w:type="dxa"/>
            <w:vMerge/>
          </w:tcPr>
          <w:p w14:paraId="2B769D79" w14:textId="77777777" w:rsidR="00375B0F" w:rsidRPr="000D3717" w:rsidRDefault="00375B0F" w:rsidP="00835D2A">
            <w:pPr>
              <w:rPr>
                <w:rFonts w:ascii="Times New Roman" w:hAnsi="Times New Roman" w:cs="Times New Roman"/>
                <w:sz w:val="24"/>
                <w:szCs w:val="24"/>
              </w:rPr>
            </w:pPr>
          </w:p>
        </w:tc>
        <w:tc>
          <w:tcPr>
            <w:tcW w:w="7938" w:type="dxa"/>
            <w:shd w:val="clear" w:color="auto" w:fill="C9C9C9" w:themeFill="accent3" w:themeFillTint="99"/>
          </w:tcPr>
          <w:p w14:paraId="008400E7" w14:textId="77777777" w:rsidR="00375B0F" w:rsidRPr="000D3717" w:rsidRDefault="00375B0F" w:rsidP="00870176">
            <w:pPr>
              <w:pStyle w:val="ListParagraph"/>
              <w:numPr>
                <w:ilvl w:val="0"/>
                <w:numId w:val="24"/>
              </w:numPr>
              <w:jc w:val="both"/>
              <w:rPr>
                <w:rFonts w:ascii="Times New Roman" w:hAnsi="Times New Roman" w:cs="Times New Roman"/>
                <w:sz w:val="24"/>
                <w:szCs w:val="24"/>
              </w:rPr>
            </w:pPr>
            <w:r w:rsidRPr="000D3717">
              <w:rPr>
                <w:rFonts w:ascii="Times New Roman" w:hAnsi="Times New Roman" w:cs="Times New Roman"/>
                <w:sz w:val="24"/>
                <w:szCs w:val="24"/>
              </w:rPr>
              <w:t>Ndihma Shtetërore tashmë është e rregulluar me një Ligj të Veçantë dhe nuk është më kompetenc</w:t>
            </w:r>
            <w:r w:rsidR="003E43EE">
              <w:rPr>
                <w:rFonts w:ascii="Times New Roman" w:hAnsi="Times New Roman" w:cs="Times New Roman"/>
                <w:sz w:val="24"/>
                <w:szCs w:val="24"/>
              </w:rPr>
              <w:t>ë</w:t>
            </w:r>
            <w:r w:rsidRPr="000D3717">
              <w:rPr>
                <w:rFonts w:ascii="Times New Roman" w:hAnsi="Times New Roman" w:cs="Times New Roman"/>
                <w:sz w:val="24"/>
                <w:szCs w:val="24"/>
              </w:rPr>
              <w:t xml:space="preserve"> e A</w:t>
            </w:r>
            <w:r w:rsidR="00F8376E" w:rsidRPr="000D3717">
              <w:rPr>
                <w:rFonts w:ascii="Times New Roman" w:hAnsi="Times New Roman" w:cs="Times New Roman"/>
                <w:sz w:val="24"/>
                <w:szCs w:val="24"/>
              </w:rPr>
              <w:t>KK</w:t>
            </w:r>
            <w:r w:rsidR="003E43EE">
              <w:rPr>
                <w:rFonts w:ascii="Times New Roman" w:hAnsi="Times New Roman" w:cs="Times New Roman"/>
                <w:sz w:val="24"/>
                <w:szCs w:val="24"/>
              </w:rPr>
              <w:t>-së</w:t>
            </w:r>
            <w:r w:rsidRPr="000D3717">
              <w:rPr>
                <w:rFonts w:ascii="Times New Roman" w:hAnsi="Times New Roman" w:cs="Times New Roman"/>
                <w:sz w:val="24"/>
                <w:szCs w:val="24"/>
              </w:rPr>
              <w:t>.</w:t>
            </w:r>
          </w:p>
        </w:tc>
      </w:tr>
    </w:tbl>
    <w:p w14:paraId="5EED6ABB" w14:textId="77777777" w:rsidR="0012529C" w:rsidRDefault="0012529C">
      <w:pPr>
        <w:rPr>
          <w:rFonts w:ascii="Times New Roman" w:hAnsi="Times New Roman" w:cs="Times New Roman"/>
          <w:sz w:val="24"/>
          <w:szCs w:val="24"/>
        </w:rPr>
      </w:pPr>
    </w:p>
    <w:p w14:paraId="4126A34D" w14:textId="77777777" w:rsidR="00341D3A" w:rsidRDefault="00341D3A">
      <w:pPr>
        <w:rPr>
          <w:rFonts w:ascii="Times New Roman" w:hAnsi="Times New Roman" w:cs="Times New Roman"/>
          <w:sz w:val="24"/>
          <w:szCs w:val="24"/>
        </w:rPr>
      </w:pPr>
    </w:p>
    <w:p w14:paraId="0253A442" w14:textId="77777777" w:rsidR="00341D3A" w:rsidRDefault="00341D3A">
      <w:pPr>
        <w:rPr>
          <w:rFonts w:ascii="Times New Roman" w:hAnsi="Times New Roman" w:cs="Times New Roman"/>
          <w:sz w:val="24"/>
          <w:szCs w:val="24"/>
        </w:rPr>
      </w:pPr>
    </w:p>
    <w:p w14:paraId="5DD11EF0" w14:textId="77777777" w:rsidR="00341D3A" w:rsidRDefault="00341D3A">
      <w:pPr>
        <w:rPr>
          <w:rFonts w:ascii="Times New Roman" w:hAnsi="Times New Roman" w:cs="Times New Roman"/>
          <w:sz w:val="24"/>
          <w:szCs w:val="24"/>
        </w:rPr>
      </w:pPr>
    </w:p>
    <w:p w14:paraId="3A9CC86A" w14:textId="77777777" w:rsidR="00341D3A" w:rsidRDefault="00341D3A">
      <w:pPr>
        <w:rPr>
          <w:rFonts w:ascii="Times New Roman" w:hAnsi="Times New Roman" w:cs="Times New Roman"/>
          <w:sz w:val="24"/>
          <w:szCs w:val="24"/>
        </w:rPr>
      </w:pPr>
    </w:p>
    <w:p w14:paraId="2BC15237" w14:textId="77777777" w:rsidR="00341D3A" w:rsidRDefault="00341D3A">
      <w:pPr>
        <w:rPr>
          <w:rFonts w:ascii="Times New Roman" w:hAnsi="Times New Roman" w:cs="Times New Roman"/>
          <w:sz w:val="24"/>
          <w:szCs w:val="24"/>
        </w:rPr>
      </w:pPr>
    </w:p>
    <w:p w14:paraId="327BDB4D" w14:textId="77777777" w:rsidR="00341D3A" w:rsidRDefault="00341D3A">
      <w:pPr>
        <w:rPr>
          <w:rFonts w:ascii="Times New Roman" w:hAnsi="Times New Roman" w:cs="Times New Roman"/>
          <w:sz w:val="24"/>
          <w:szCs w:val="24"/>
        </w:rPr>
      </w:pPr>
    </w:p>
    <w:p w14:paraId="5498F236" w14:textId="77777777" w:rsidR="00341D3A" w:rsidRDefault="00341D3A">
      <w:pPr>
        <w:rPr>
          <w:rFonts w:ascii="Times New Roman" w:hAnsi="Times New Roman" w:cs="Times New Roman"/>
          <w:sz w:val="24"/>
          <w:szCs w:val="24"/>
        </w:rPr>
      </w:pPr>
    </w:p>
    <w:p w14:paraId="53BE67B3" w14:textId="3F75419F" w:rsidR="00F125BD" w:rsidRPr="000D3717" w:rsidRDefault="00053A6B" w:rsidP="00F125BD">
      <w:pPr>
        <w:rPr>
          <w:rFonts w:ascii="Times New Roman" w:hAnsi="Times New Roman" w:cs="Times New Roman"/>
          <w:b/>
          <w:sz w:val="24"/>
          <w:szCs w:val="24"/>
        </w:rPr>
      </w:pPr>
      <w:r>
        <w:rPr>
          <w:rFonts w:ascii="Times New Roman" w:hAnsi="Times New Roman" w:cs="Times New Roman"/>
          <w:b/>
          <w:sz w:val="24"/>
          <w:szCs w:val="24"/>
        </w:rPr>
        <w:lastRenderedPageBreak/>
        <w:t>Analiza me r</w:t>
      </w:r>
      <w:r w:rsidR="00F125BD" w:rsidRPr="000D3717">
        <w:rPr>
          <w:rFonts w:ascii="Times New Roman" w:hAnsi="Times New Roman" w:cs="Times New Roman"/>
          <w:b/>
          <w:sz w:val="24"/>
          <w:szCs w:val="24"/>
        </w:rPr>
        <w:t xml:space="preserve">ekomandime </w:t>
      </w:r>
      <w:r>
        <w:rPr>
          <w:rFonts w:ascii="Times New Roman" w:hAnsi="Times New Roman" w:cs="Times New Roman"/>
          <w:b/>
          <w:sz w:val="24"/>
          <w:szCs w:val="24"/>
        </w:rPr>
        <w:t>t</w:t>
      </w:r>
      <w:r w:rsidRPr="000D3717">
        <w:rPr>
          <w:rFonts w:ascii="Times New Roman" w:hAnsi="Times New Roman" w:cs="Times New Roman"/>
          <w:b/>
          <w:sz w:val="24"/>
          <w:szCs w:val="24"/>
        </w:rPr>
        <w:t>ë</w:t>
      </w:r>
      <w:r>
        <w:rPr>
          <w:rFonts w:ascii="Times New Roman" w:hAnsi="Times New Roman" w:cs="Times New Roman"/>
          <w:b/>
          <w:sz w:val="24"/>
          <w:szCs w:val="24"/>
        </w:rPr>
        <w:t xml:space="preserve"> hartuara </w:t>
      </w:r>
      <w:r w:rsidR="00F125BD" w:rsidRPr="000D3717">
        <w:rPr>
          <w:rFonts w:ascii="Times New Roman" w:hAnsi="Times New Roman" w:cs="Times New Roman"/>
          <w:b/>
          <w:sz w:val="24"/>
          <w:szCs w:val="24"/>
        </w:rPr>
        <w:t>për secilin shkak dhe efekt të identifikuar në Figurën 4</w:t>
      </w:r>
      <w:r>
        <w:rPr>
          <w:rFonts w:ascii="Times New Roman" w:hAnsi="Times New Roman" w:cs="Times New Roman"/>
          <w:b/>
          <w:sz w:val="24"/>
          <w:szCs w:val="24"/>
        </w:rPr>
        <w:t>.</w:t>
      </w:r>
    </w:p>
    <w:p w14:paraId="55247481" w14:textId="77777777" w:rsidR="00B9269F" w:rsidRPr="000D3717" w:rsidRDefault="00B9269F">
      <w:pPr>
        <w:rPr>
          <w:rFonts w:ascii="Times New Roman" w:hAnsi="Times New Roman" w:cs="Times New Roman"/>
          <w:sz w:val="24"/>
          <w:szCs w:val="24"/>
        </w:rPr>
      </w:pPr>
    </w:p>
    <w:tbl>
      <w:tblPr>
        <w:tblStyle w:val="TableGrid"/>
        <w:tblpPr w:leftFromText="180" w:rightFromText="180" w:vertAnchor="text" w:horzAnchor="margin" w:tblpY="519"/>
        <w:tblW w:w="0" w:type="auto"/>
        <w:tblLook w:val="04A0" w:firstRow="1" w:lastRow="0" w:firstColumn="1" w:lastColumn="0" w:noHBand="0" w:noVBand="1"/>
      </w:tblPr>
      <w:tblGrid>
        <w:gridCol w:w="3192"/>
        <w:gridCol w:w="6384"/>
      </w:tblGrid>
      <w:tr w:rsidR="005C44E6" w:rsidRPr="000D3717" w14:paraId="75D0FABE" w14:textId="77777777" w:rsidTr="005C44E6">
        <w:tc>
          <w:tcPr>
            <w:tcW w:w="3192" w:type="dxa"/>
          </w:tcPr>
          <w:p w14:paraId="72965A44" w14:textId="77777777" w:rsidR="005C44E6" w:rsidRPr="000D3717" w:rsidRDefault="005C44E6" w:rsidP="005C44E6">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0D11E801" w14:textId="77777777" w:rsidR="00604B62" w:rsidRPr="000D3717" w:rsidRDefault="003E43EE" w:rsidP="005C44E6">
            <w:pPr>
              <w:jc w:val="both"/>
              <w:rPr>
                <w:rFonts w:ascii="Times New Roman" w:hAnsi="Times New Roman" w:cs="Times New Roman"/>
                <w:sz w:val="24"/>
                <w:szCs w:val="24"/>
              </w:rPr>
            </w:pPr>
            <w:r>
              <w:rPr>
                <w:rFonts w:ascii="Times New Roman" w:hAnsi="Times New Roman" w:cs="Times New Roman"/>
                <w:sz w:val="24"/>
                <w:szCs w:val="24"/>
              </w:rPr>
              <w:t>-</w:t>
            </w:r>
            <w:r w:rsidR="005C44E6" w:rsidRPr="000D3717">
              <w:rPr>
                <w:rFonts w:ascii="Times New Roman" w:hAnsi="Times New Roman" w:cs="Times New Roman"/>
                <w:sz w:val="24"/>
                <w:szCs w:val="24"/>
              </w:rPr>
              <w:t xml:space="preserve">Neni 5, 6 dhe 7 janë </w:t>
            </w:r>
            <w:r>
              <w:rPr>
                <w:rFonts w:ascii="Times New Roman" w:hAnsi="Times New Roman" w:cs="Times New Roman"/>
                <w:sz w:val="24"/>
                <w:szCs w:val="24"/>
              </w:rPr>
              <w:t>n</w:t>
            </w:r>
            <w:r w:rsidR="005C44E6" w:rsidRPr="000D3717">
              <w:rPr>
                <w:rFonts w:ascii="Times New Roman" w:hAnsi="Times New Roman" w:cs="Times New Roman"/>
                <w:sz w:val="24"/>
                <w:szCs w:val="24"/>
              </w:rPr>
              <w:t xml:space="preserve">ene që kanë mbete nga Ligji </w:t>
            </w:r>
            <w:r w:rsidR="00BB5A1E" w:rsidRPr="000D3717">
              <w:rPr>
                <w:rFonts w:ascii="Times New Roman" w:hAnsi="Times New Roman" w:cs="Times New Roman"/>
                <w:sz w:val="24"/>
                <w:szCs w:val="24"/>
              </w:rPr>
              <w:t xml:space="preserve">2004/36 </w:t>
            </w:r>
            <w:r>
              <w:rPr>
                <w:rFonts w:ascii="Times New Roman" w:hAnsi="Times New Roman" w:cs="Times New Roman"/>
                <w:sz w:val="24"/>
                <w:szCs w:val="24"/>
              </w:rPr>
              <w:t>m</w:t>
            </w:r>
            <w:r w:rsidR="004E4548" w:rsidRPr="000D3717">
              <w:rPr>
                <w:rFonts w:ascii="Times New Roman" w:hAnsi="Times New Roman" w:cs="Times New Roman"/>
                <w:sz w:val="24"/>
                <w:szCs w:val="24"/>
              </w:rPr>
              <w:t>irëpo</w:t>
            </w:r>
            <w:r>
              <w:rPr>
                <w:rFonts w:ascii="Times New Roman" w:hAnsi="Times New Roman" w:cs="Times New Roman"/>
                <w:sz w:val="24"/>
                <w:szCs w:val="24"/>
              </w:rPr>
              <w:t>,</w:t>
            </w:r>
            <w:r w:rsidR="004E4548" w:rsidRPr="000D3717">
              <w:rPr>
                <w:rFonts w:ascii="Times New Roman" w:hAnsi="Times New Roman" w:cs="Times New Roman"/>
                <w:sz w:val="24"/>
                <w:szCs w:val="24"/>
              </w:rPr>
              <w:t xml:space="preserve"> m</w:t>
            </w:r>
            <w:r w:rsidR="005C44E6" w:rsidRPr="000D3717">
              <w:rPr>
                <w:rFonts w:ascii="Times New Roman" w:hAnsi="Times New Roman" w:cs="Times New Roman"/>
                <w:sz w:val="24"/>
                <w:szCs w:val="24"/>
              </w:rPr>
              <w:t xml:space="preserve">e avancimin e legjislacionit </w:t>
            </w:r>
            <w:r w:rsidR="004E4548" w:rsidRPr="000D3717">
              <w:rPr>
                <w:rFonts w:ascii="Times New Roman" w:hAnsi="Times New Roman" w:cs="Times New Roman"/>
                <w:sz w:val="24"/>
                <w:szCs w:val="24"/>
              </w:rPr>
              <w:t>t</w:t>
            </w:r>
            <w:r w:rsidR="005C44E6" w:rsidRPr="000D3717">
              <w:rPr>
                <w:rFonts w:ascii="Times New Roman" w:hAnsi="Times New Roman" w:cs="Times New Roman"/>
                <w:sz w:val="24"/>
                <w:szCs w:val="24"/>
              </w:rPr>
              <w:t>ë BE</w:t>
            </w:r>
            <w:r w:rsidR="004E4548" w:rsidRPr="000D3717">
              <w:rPr>
                <w:rFonts w:ascii="Times New Roman" w:hAnsi="Times New Roman" w:cs="Times New Roman"/>
                <w:sz w:val="24"/>
                <w:szCs w:val="24"/>
              </w:rPr>
              <w:t>-s</w:t>
            </w:r>
            <w:r>
              <w:rPr>
                <w:rFonts w:ascii="Times New Roman" w:hAnsi="Times New Roman" w:cs="Times New Roman"/>
                <w:sz w:val="24"/>
                <w:szCs w:val="24"/>
              </w:rPr>
              <w:t>ë</w:t>
            </w:r>
            <w:r w:rsidR="005C44E6" w:rsidRPr="000D3717">
              <w:rPr>
                <w:rFonts w:ascii="Times New Roman" w:hAnsi="Times New Roman" w:cs="Times New Roman"/>
                <w:sz w:val="24"/>
                <w:szCs w:val="24"/>
              </w:rPr>
              <w:t xml:space="preserve"> </w:t>
            </w:r>
            <w:r w:rsidR="004E4548" w:rsidRPr="000D3717">
              <w:rPr>
                <w:rFonts w:ascii="Times New Roman" w:hAnsi="Times New Roman" w:cs="Times New Roman"/>
                <w:sz w:val="24"/>
                <w:szCs w:val="24"/>
              </w:rPr>
              <w:t xml:space="preserve">si dhe praktikave </w:t>
            </w:r>
            <w:r w:rsidR="005C44E6" w:rsidRPr="000D3717">
              <w:rPr>
                <w:rFonts w:ascii="Times New Roman" w:hAnsi="Times New Roman" w:cs="Times New Roman"/>
                <w:sz w:val="24"/>
                <w:szCs w:val="24"/>
              </w:rPr>
              <w:t xml:space="preserve">në shtetet e rajonit, </w:t>
            </w:r>
            <w:r w:rsidR="005E2435" w:rsidRPr="000D3717">
              <w:rPr>
                <w:rFonts w:ascii="Times New Roman" w:hAnsi="Times New Roman" w:cs="Times New Roman"/>
                <w:sz w:val="24"/>
                <w:szCs w:val="24"/>
              </w:rPr>
              <w:t>është</w:t>
            </w:r>
            <w:r w:rsidR="005C44E6" w:rsidRPr="000D3717">
              <w:rPr>
                <w:rFonts w:ascii="Times New Roman" w:hAnsi="Times New Roman" w:cs="Times New Roman"/>
                <w:sz w:val="24"/>
                <w:szCs w:val="24"/>
              </w:rPr>
              <w:t xml:space="preserve"> konsideruar si </w:t>
            </w:r>
            <w:r w:rsidR="004E4548" w:rsidRPr="000D3717">
              <w:rPr>
                <w:rFonts w:ascii="Times New Roman" w:hAnsi="Times New Roman" w:cs="Times New Roman"/>
                <w:sz w:val="24"/>
                <w:szCs w:val="24"/>
              </w:rPr>
              <w:t>e</w:t>
            </w:r>
            <w:r w:rsidR="005C44E6" w:rsidRPr="000D3717">
              <w:rPr>
                <w:rFonts w:ascii="Times New Roman" w:hAnsi="Times New Roman" w:cs="Times New Roman"/>
                <w:sz w:val="24"/>
                <w:szCs w:val="24"/>
              </w:rPr>
              <w:t xml:space="preserve"> pa nevojshme</w:t>
            </w:r>
            <w:r w:rsidR="005E2435" w:rsidRPr="000D3717">
              <w:rPr>
                <w:rFonts w:ascii="Times New Roman" w:hAnsi="Times New Roman" w:cs="Times New Roman"/>
                <w:sz w:val="24"/>
                <w:szCs w:val="24"/>
              </w:rPr>
              <w:t xml:space="preserve"> </w:t>
            </w:r>
            <w:r w:rsidR="005C44E6" w:rsidRPr="000D3717">
              <w:rPr>
                <w:rFonts w:ascii="Times New Roman" w:hAnsi="Times New Roman" w:cs="Times New Roman"/>
                <w:sz w:val="24"/>
                <w:szCs w:val="24"/>
              </w:rPr>
              <w:t xml:space="preserve">për arsye se shumë prej këtyre marrëveshjeve që i plotësojnë kushtet mund të përjashtohen në grup pa ndonjë procedurë të stërzgjatur si nga </w:t>
            </w:r>
            <w:proofErr w:type="spellStart"/>
            <w:r w:rsidR="005C44E6" w:rsidRPr="000D3717">
              <w:rPr>
                <w:rFonts w:ascii="Times New Roman" w:hAnsi="Times New Roman" w:cs="Times New Roman"/>
                <w:sz w:val="24"/>
                <w:szCs w:val="24"/>
              </w:rPr>
              <w:t>aplikantët</w:t>
            </w:r>
            <w:proofErr w:type="spellEnd"/>
            <w:r w:rsidR="005C44E6" w:rsidRPr="000D3717">
              <w:rPr>
                <w:rFonts w:ascii="Times New Roman" w:hAnsi="Times New Roman" w:cs="Times New Roman"/>
                <w:sz w:val="24"/>
                <w:szCs w:val="24"/>
              </w:rPr>
              <w:t xml:space="preserve"> që aplikojnë ashtu edhe nga administrata e Konkurrencës.</w:t>
            </w:r>
          </w:p>
          <w:p w14:paraId="02FE273D" w14:textId="77777777" w:rsidR="00C705E9" w:rsidRPr="000D3717" w:rsidRDefault="00C705E9" w:rsidP="005C44E6">
            <w:pPr>
              <w:jc w:val="both"/>
              <w:rPr>
                <w:rFonts w:ascii="Times New Roman" w:hAnsi="Times New Roman" w:cs="Times New Roman"/>
                <w:sz w:val="24"/>
                <w:szCs w:val="24"/>
              </w:rPr>
            </w:pPr>
          </w:p>
          <w:p w14:paraId="6B33FD77" w14:textId="77777777" w:rsidR="00C705E9" w:rsidRPr="000D3717" w:rsidRDefault="003E43EE" w:rsidP="00C705E9">
            <w:pPr>
              <w:jc w:val="both"/>
              <w:rPr>
                <w:rFonts w:ascii="Times New Roman" w:hAnsi="Times New Roman" w:cs="Times New Roman"/>
                <w:sz w:val="24"/>
                <w:szCs w:val="24"/>
              </w:rPr>
            </w:pPr>
            <w:r>
              <w:rPr>
                <w:rFonts w:ascii="Times New Roman" w:hAnsi="Times New Roman" w:cs="Times New Roman"/>
                <w:sz w:val="24"/>
                <w:szCs w:val="24"/>
              </w:rPr>
              <w:t>-</w:t>
            </w:r>
            <w:r w:rsidR="00C705E9" w:rsidRPr="000D3717">
              <w:rPr>
                <w:rFonts w:ascii="Times New Roman" w:hAnsi="Times New Roman" w:cs="Times New Roman"/>
                <w:sz w:val="24"/>
                <w:szCs w:val="24"/>
              </w:rPr>
              <w:t xml:space="preserve">Nenet 5 dhe 6 të Ligjit </w:t>
            </w:r>
            <w:r w:rsidR="00BB2D6C" w:rsidRPr="000D3717">
              <w:rPr>
                <w:rFonts w:ascii="Times New Roman" w:hAnsi="Times New Roman" w:cs="Times New Roman"/>
                <w:sz w:val="24"/>
                <w:szCs w:val="24"/>
              </w:rPr>
              <w:t xml:space="preserve">me Nr. 03/L-229 </w:t>
            </w:r>
            <w:r w:rsidR="007624D8" w:rsidRPr="000D3717">
              <w:rPr>
                <w:rFonts w:ascii="Times New Roman" w:hAnsi="Times New Roman" w:cs="Times New Roman"/>
                <w:sz w:val="24"/>
                <w:szCs w:val="24"/>
              </w:rPr>
              <w:t>për Mbrojtjen e</w:t>
            </w:r>
            <w:r w:rsidR="00C705E9" w:rsidRPr="000D3717">
              <w:rPr>
                <w:rFonts w:ascii="Times New Roman" w:hAnsi="Times New Roman" w:cs="Times New Roman"/>
                <w:sz w:val="24"/>
                <w:szCs w:val="24"/>
              </w:rPr>
              <w:t xml:space="preserve"> Konkurrencës</w:t>
            </w:r>
            <w:r w:rsidR="00BB2D6C" w:rsidRPr="000D3717">
              <w:rPr>
                <w:rFonts w:ascii="Times New Roman" w:hAnsi="Times New Roman" w:cs="Times New Roman"/>
                <w:sz w:val="24"/>
                <w:szCs w:val="24"/>
              </w:rPr>
              <w:t xml:space="preserve"> </w:t>
            </w:r>
            <w:r w:rsidR="00C705E9" w:rsidRPr="000D3717">
              <w:rPr>
                <w:rFonts w:ascii="Times New Roman" w:hAnsi="Times New Roman" w:cs="Times New Roman"/>
                <w:sz w:val="24"/>
                <w:szCs w:val="24"/>
              </w:rPr>
              <w:t xml:space="preserve">rregullojnë përjashtimin e marrëveshjeve horizontale dhe vertikale të cilat rregullohen më tej me legjislacion të veçantë sekondar (udhëzimet administrative). Këtu theksi vihet në efikasitetin ekonomik me disa objektiva specifike dhe kushtet e marrëveshjeve. </w:t>
            </w:r>
          </w:p>
          <w:p w14:paraId="448FA1D0" w14:textId="77777777" w:rsidR="00C705E9" w:rsidRPr="000D3717" w:rsidRDefault="00C705E9" w:rsidP="00C705E9">
            <w:pPr>
              <w:jc w:val="both"/>
              <w:rPr>
                <w:rFonts w:ascii="Times New Roman" w:hAnsi="Times New Roman" w:cs="Times New Roman"/>
                <w:sz w:val="24"/>
                <w:szCs w:val="24"/>
              </w:rPr>
            </w:pPr>
            <w:r w:rsidRPr="000D3717">
              <w:rPr>
                <w:rFonts w:ascii="Times New Roman" w:hAnsi="Times New Roman" w:cs="Times New Roman"/>
                <w:sz w:val="24"/>
                <w:szCs w:val="24"/>
              </w:rPr>
              <w:t xml:space="preserve">-Duke pasur parasysh se kjo është </w:t>
            </w:r>
            <w:proofErr w:type="spellStart"/>
            <w:r w:rsidRPr="000D3717">
              <w:rPr>
                <w:rFonts w:ascii="Times New Roman" w:hAnsi="Times New Roman" w:cs="Times New Roman"/>
                <w:sz w:val="24"/>
                <w:szCs w:val="24"/>
              </w:rPr>
              <w:t>elaboruar</w:t>
            </w:r>
            <w:proofErr w:type="spellEnd"/>
            <w:r w:rsidRPr="000D3717">
              <w:rPr>
                <w:rFonts w:ascii="Times New Roman" w:hAnsi="Times New Roman" w:cs="Times New Roman"/>
                <w:sz w:val="24"/>
                <w:szCs w:val="24"/>
              </w:rPr>
              <w:t xml:space="preserve"> më tutje në legjislacionin sekondar, do të ishte mirë që së pari të shpjegohet në këto dispozita nëse këto janë të gjitha kushtet të cilat duhet të përmbushen për çdo lloj marrëveshjeje ose nëse është çështje që dallon nga rasti në rast.  </w:t>
            </w:r>
          </w:p>
          <w:p w14:paraId="553F8267" w14:textId="77777777" w:rsidR="00C705E9" w:rsidRPr="000D3717" w:rsidRDefault="00C705E9" w:rsidP="00C705E9">
            <w:pPr>
              <w:jc w:val="both"/>
              <w:rPr>
                <w:rFonts w:ascii="Times New Roman" w:hAnsi="Times New Roman" w:cs="Times New Roman"/>
                <w:sz w:val="24"/>
                <w:szCs w:val="24"/>
              </w:rPr>
            </w:pPr>
            <w:r w:rsidRPr="000D3717">
              <w:rPr>
                <w:rFonts w:ascii="Times New Roman" w:hAnsi="Times New Roman" w:cs="Times New Roman"/>
                <w:sz w:val="24"/>
                <w:szCs w:val="24"/>
              </w:rPr>
              <w:t xml:space="preserve">-Këto dispozita pjesërisht </w:t>
            </w:r>
            <w:proofErr w:type="spellStart"/>
            <w:r w:rsidRPr="000D3717">
              <w:rPr>
                <w:rFonts w:ascii="Times New Roman" w:hAnsi="Times New Roman" w:cs="Times New Roman"/>
                <w:sz w:val="24"/>
                <w:szCs w:val="24"/>
              </w:rPr>
              <w:t>transpozojnë</w:t>
            </w:r>
            <w:proofErr w:type="spellEnd"/>
            <w:r w:rsidRPr="000D3717">
              <w:rPr>
                <w:rFonts w:ascii="Times New Roman" w:hAnsi="Times New Roman" w:cs="Times New Roman"/>
                <w:sz w:val="24"/>
                <w:szCs w:val="24"/>
              </w:rPr>
              <w:t xml:space="preserve"> dispozitat e Rregullores së Komisionit 3301/2010 mbi aplikimin e nenit 101, paragrafi 3 të TFBE-së për kategoritë e marrëveshjeve vertikale dhe </w:t>
            </w:r>
            <w:r w:rsidR="003E43EE">
              <w:rPr>
                <w:rFonts w:ascii="Times New Roman" w:hAnsi="Times New Roman" w:cs="Times New Roman"/>
                <w:sz w:val="24"/>
                <w:szCs w:val="24"/>
              </w:rPr>
              <w:t>u</w:t>
            </w:r>
            <w:r w:rsidRPr="000D3717">
              <w:rPr>
                <w:rFonts w:ascii="Times New Roman" w:hAnsi="Times New Roman" w:cs="Times New Roman"/>
                <w:sz w:val="24"/>
                <w:szCs w:val="24"/>
              </w:rPr>
              <w:t xml:space="preserve">dhëzimet e Komisionit për aplikimin e nenit 101, paragrafi 3 të TFBE-së për kategoritë e marrëveshjeve horizontale. </w:t>
            </w:r>
          </w:p>
          <w:p w14:paraId="007A7B18" w14:textId="77777777" w:rsidR="00C705E9" w:rsidRPr="000D3717" w:rsidRDefault="00C705E9" w:rsidP="00C705E9">
            <w:pPr>
              <w:jc w:val="both"/>
              <w:rPr>
                <w:rFonts w:ascii="Times New Roman" w:hAnsi="Times New Roman" w:cs="Times New Roman"/>
                <w:sz w:val="24"/>
                <w:szCs w:val="24"/>
              </w:rPr>
            </w:pPr>
            <w:r w:rsidRPr="000D3717">
              <w:rPr>
                <w:rFonts w:ascii="Times New Roman" w:hAnsi="Times New Roman" w:cs="Times New Roman"/>
                <w:sz w:val="24"/>
                <w:szCs w:val="24"/>
              </w:rPr>
              <w:t>-Rekomandohet referencë në legjislacionin dytësor në këtë dispozitë.</w:t>
            </w:r>
          </w:p>
        </w:tc>
      </w:tr>
      <w:tr w:rsidR="005C44E6" w:rsidRPr="000D3717" w14:paraId="42DC0769" w14:textId="77777777" w:rsidTr="005C44E6">
        <w:tc>
          <w:tcPr>
            <w:tcW w:w="3192" w:type="dxa"/>
          </w:tcPr>
          <w:p w14:paraId="6D303F9C" w14:textId="77777777" w:rsidR="005C44E6" w:rsidRPr="000D3717" w:rsidRDefault="005C44E6" w:rsidP="005C44E6">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6F054153" w14:textId="77777777" w:rsidR="005C44E6" w:rsidRPr="000D3717" w:rsidRDefault="005C44E6" w:rsidP="005C44E6">
            <w:pPr>
              <w:jc w:val="both"/>
              <w:rPr>
                <w:rFonts w:ascii="Times New Roman" w:hAnsi="Times New Roman" w:cs="Times New Roman"/>
                <w:sz w:val="24"/>
                <w:szCs w:val="24"/>
              </w:rPr>
            </w:pPr>
            <w:r w:rsidRPr="000D3717">
              <w:rPr>
                <w:rFonts w:ascii="Times New Roman" w:hAnsi="Times New Roman" w:cs="Times New Roman"/>
                <w:sz w:val="24"/>
                <w:szCs w:val="24"/>
              </w:rPr>
              <w:t xml:space="preserve">Përjashtimet nga marrëveshjet e ndaluara grupore do të duhej që të rregullohen veç e veç, me akte nënligjore të cilat do të specifikoheshin në nenin e përjashtimeve </w:t>
            </w:r>
            <w:r w:rsidR="007C36E5" w:rsidRPr="000D3717">
              <w:rPr>
                <w:rFonts w:ascii="Times New Roman" w:hAnsi="Times New Roman" w:cs="Times New Roman"/>
                <w:sz w:val="24"/>
                <w:szCs w:val="24"/>
              </w:rPr>
              <w:t>t</w:t>
            </w:r>
            <w:r w:rsidR="003E43EE">
              <w:rPr>
                <w:rFonts w:ascii="Times New Roman" w:hAnsi="Times New Roman" w:cs="Times New Roman"/>
                <w:sz w:val="24"/>
                <w:szCs w:val="24"/>
              </w:rPr>
              <w:t>ë</w:t>
            </w:r>
            <w:r w:rsidR="007C36E5" w:rsidRPr="000D3717">
              <w:rPr>
                <w:rFonts w:ascii="Times New Roman" w:hAnsi="Times New Roman" w:cs="Times New Roman"/>
                <w:sz w:val="24"/>
                <w:szCs w:val="24"/>
              </w:rPr>
              <w:t xml:space="preserve"> ndaluara siç </w:t>
            </w:r>
            <w:r w:rsidRPr="000D3717">
              <w:rPr>
                <w:rFonts w:ascii="Times New Roman" w:hAnsi="Times New Roman" w:cs="Times New Roman"/>
                <w:sz w:val="24"/>
                <w:szCs w:val="24"/>
              </w:rPr>
              <w:t xml:space="preserve">janë: Përjashtim i marrëveshjeve Horizontale, Përjashtimi i marrëveshjeve  </w:t>
            </w:r>
            <w:r w:rsidR="007C36E5" w:rsidRPr="000D3717">
              <w:rPr>
                <w:rFonts w:ascii="Times New Roman" w:hAnsi="Times New Roman" w:cs="Times New Roman"/>
                <w:sz w:val="24"/>
                <w:szCs w:val="24"/>
              </w:rPr>
              <w:t>V</w:t>
            </w:r>
            <w:r w:rsidRPr="000D3717">
              <w:rPr>
                <w:rFonts w:ascii="Times New Roman" w:hAnsi="Times New Roman" w:cs="Times New Roman"/>
                <w:sz w:val="24"/>
                <w:szCs w:val="24"/>
              </w:rPr>
              <w:t xml:space="preserve">ertikale, Përjashtimi i marrëveshjeve të sigurimeve, përjashtimi i marrëveshjeve për bartjen e teknologjisë </w:t>
            </w:r>
            <w:r w:rsidR="003E43EE">
              <w:rPr>
                <w:rFonts w:ascii="Times New Roman" w:hAnsi="Times New Roman" w:cs="Times New Roman"/>
                <w:sz w:val="24"/>
                <w:szCs w:val="24"/>
              </w:rPr>
              <w:t xml:space="preserve"> </w:t>
            </w:r>
            <w:r w:rsidRPr="000D3717">
              <w:rPr>
                <w:rFonts w:ascii="Times New Roman" w:hAnsi="Times New Roman" w:cs="Times New Roman"/>
                <w:sz w:val="24"/>
                <w:szCs w:val="24"/>
              </w:rPr>
              <w:t xml:space="preserve">etj.  Të fshihen nenet 5, 6 dhe 7 dhe të përfshihen në nenin që ka të bëjë me lejimin e përjashtimeve grupore duke i specifikuar aktet nënligjore që do të rregullonin,  kushtet që duhet t’i përmbushin  marrëveshjet  dhe ato që nuk guxon t’i kenë për t’u përjashtuar në grup. </w:t>
            </w:r>
          </w:p>
          <w:p w14:paraId="37A7FE85" w14:textId="478C3A44" w:rsidR="005C44E6" w:rsidRPr="000D3717" w:rsidRDefault="005C44E6" w:rsidP="00C17F8E">
            <w:pPr>
              <w:jc w:val="both"/>
              <w:rPr>
                <w:rFonts w:ascii="Times New Roman" w:hAnsi="Times New Roman" w:cs="Times New Roman"/>
                <w:sz w:val="24"/>
                <w:szCs w:val="24"/>
              </w:rPr>
            </w:pPr>
            <w:r w:rsidRPr="000D3717">
              <w:rPr>
                <w:rFonts w:ascii="Times New Roman" w:hAnsi="Times New Roman" w:cs="Times New Roman"/>
                <w:sz w:val="24"/>
                <w:szCs w:val="24"/>
              </w:rPr>
              <w:t xml:space="preserve">Vlen të theksohet se ky ri </w:t>
            </w:r>
            <w:r w:rsidR="003E43EE">
              <w:rPr>
                <w:rFonts w:ascii="Times New Roman" w:hAnsi="Times New Roman" w:cs="Times New Roman"/>
                <w:sz w:val="24"/>
                <w:szCs w:val="24"/>
              </w:rPr>
              <w:t>-</w:t>
            </w:r>
            <w:r w:rsidRPr="000D3717">
              <w:rPr>
                <w:rFonts w:ascii="Times New Roman" w:hAnsi="Times New Roman" w:cs="Times New Roman"/>
                <w:sz w:val="24"/>
                <w:szCs w:val="24"/>
              </w:rPr>
              <w:t xml:space="preserve">rregullim ligjorë ka </w:t>
            </w:r>
            <w:r w:rsidR="00C17F8E" w:rsidRPr="000D3717">
              <w:rPr>
                <w:rFonts w:ascii="Times New Roman" w:hAnsi="Times New Roman" w:cs="Times New Roman"/>
                <w:sz w:val="24"/>
                <w:szCs w:val="24"/>
              </w:rPr>
              <w:t>gjet</w:t>
            </w:r>
            <w:r w:rsidR="00C17F8E">
              <w:rPr>
                <w:rFonts w:ascii="Times New Roman" w:hAnsi="Times New Roman" w:cs="Times New Roman"/>
                <w:sz w:val="24"/>
                <w:szCs w:val="24"/>
              </w:rPr>
              <w:t>e</w:t>
            </w:r>
            <w:r w:rsidRPr="000D3717">
              <w:rPr>
                <w:rFonts w:ascii="Times New Roman" w:hAnsi="Times New Roman" w:cs="Times New Roman"/>
                <w:sz w:val="24"/>
                <w:szCs w:val="24"/>
              </w:rPr>
              <w:t xml:space="preserve"> shprehje si  në Direktivat Evropiane ashtu edhe t</w:t>
            </w:r>
            <w:r w:rsidR="003E43EE">
              <w:rPr>
                <w:rFonts w:ascii="Times New Roman" w:hAnsi="Times New Roman" w:cs="Times New Roman"/>
                <w:sz w:val="24"/>
                <w:szCs w:val="24"/>
              </w:rPr>
              <w:t>ë</w:t>
            </w:r>
            <w:r w:rsidRPr="000D3717">
              <w:rPr>
                <w:rFonts w:ascii="Times New Roman" w:hAnsi="Times New Roman" w:cs="Times New Roman"/>
                <w:sz w:val="24"/>
                <w:szCs w:val="24"/>
              </w:rPr>
              <w:t xml:space="preserve"> shumica e shteteve që janë në fazën e </w:t>
            </w:r>
            <w:proofErr w:type="spellStart"/>
            <w:r w:rsidRPr="000D3717">
              <w:rPr>
                <w:rFonts w:ascii="Times New Roman" w:hAnsi="Times New Roman" w:cs="Times New Roman"/>
                <w:sz w:val="24"/>
                <w:szCs w:val="24"/>
              </w:rPr>
              <w:t>tranzicionit</w:t>
            </w:r>
            <w:proofErr w:type="spellEnd"/>
            <w:r w:rsidRPr="000D3717">
              <w:rPr>
                <w:rFonts w:ascii="Times New Roman" w:hAnsi="Times New Roman" w:cs="Times New Roman"/>
                <w:sz w:val="24"/>
                <w:szCs w:val="24"/>
              </w:rPr>
              <w:t xml:space="preserve">. </w:t>
            </w:r>
          </w:p>
        </w:tc>
      </w:tr>
    </w:tbl>
    <w:p w14:paraId="5E25F81E" w14:textId="77777777" w:rsidR="006B5B0F" w:rsidRPr="000D3717" w:rsidRDefault="006B5B0F" w:rsidP="005C44E6">
      <w:pPr>
        <w:rPr>
          <w:rFonts w:ascii="Times New Roman" w:hAnsi="Times New Roman" w:cs="Times New Roman"/>
          <w:sz w:val="24"/>
          <w:szCs w:val="24"/>
        </w:rPr>
      </w:pPr>
    </w:p>
    <w:p w14:paraId="71AC9021" w14:textId="77777777" w:rsidR="005C44E6" w:rsidRPr="000D3717" w:rsidRDefault="005C44E6" w:rsidP="005C44E6">
      <w:pPr>
        <w:rPr>
          <w:rFonts w:ascii="Times New Roman" w:hAnsi="Times New Roman" w:cs="Times New Roman"/>
          <w:sz w:val="24"/>
          <w:szCs w:val="24"/>
        </w:rPr>
      </w:pPr>
    </w:p>
    <w:p w14:paraId="04223E26" w14:textId="77777777" w:rsidR="003E1B87" w:rsidRPr="000D3717" w:rsidRDefault="003E1B87" w:rsidP="005C44E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FF2F16" w:rsidRPr="000D3717" w14:paraId="4CB3FCF1" w14:textId="77777777" w:rsidTr="00835D2A">
        <w:tc>
          <w:tcPr>
            <w:tcW w:w="3192" w:type="dxa"/>
          </w:tcPr>
          <w:p w14:paraId="30B6EA88" w14:textId="77777777" w:rsidR="00FF2F16" w:rsidRPr="000D3717" w:rsidRDefault="00FF2F16" w:rsidP="00835D2A">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74503C1E"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Neni  7A i Ligjit Nr. 04/l-226  </w:t>
            </w:r>
            <w:r w:rsidR="003E43EE">
              <w:rPr>
                <w:rFonts w:ascii="Times New Roman" w:hAnsi="Times New Roman" w:cs="Times New Roman"/>
                <w:sz w:val="24"/>
                <w:szCs w:val="24"/>
              </w:rPr>
              <w:t>p</w:t>
            </w:r>
            <w:r w:rsidRPr="000D3717">
              <w:rPr>
                <w:rFonts w:ascii="Times New Roman" w:hAnsi="Times New Roman" w:cs="Times New Roman"/>
                <w:sz w:val="24"/>
                <w:szCs w:val="24"/>
              </w:rPr>
              <w:t xml:space="preserve">ër ndryshimin dhe plotësimin e Ligjit Nr. 03/l-229 </w:t>
            </w:r>
            <w:r w:rsidR="003E43EE">
              <w:rPr>
                <w:rFonts w:ascii="Times New Roman" w:hAnsi="Times New Roman" w:cs="Times New Roman"/>
                <w:sz w:val="24"/>
                <w:szCs w:val="24"/>
              </w:rPr>
              <w:t>p</w:t>
            </w:r>
            <w:r w:rsidRPr="000D3717">
              <w:rPr>
                <w:rFonts w:ascii="Times New Roman" w:hAnsi="Times New Roman" w:cs="Times New Roman"/>
                <w:sz w:val="24"/>
                <w:szCs w:val="24"/>
              </w:rPr>
              <w:t xml:space="preserve">ër Mbrojtjen e Konkurrencës i rregullon Përjashtimet Grupore. Dispozitat mbi përjashtimet grupore përcaktojnë kushtet të cilat duhet t’i përmbushin disa marrëveshje për të qenë të përjashtuara nga ndalesat e përgjithshme, sipas </w:t>
            </w:r>
            <w:r w:rsidR="003E43EE">
              <w:rPr>
                <w:rFonts w:ascii="Times New Roman" w:hAnsi="Times New Roman" w:cs="Times New Roman"/>
                <w:sz w:val="24"/>
                <w:szCs w:val="24"/>
              </w:rPr>
              <w:t>n</w:t>
            </w:r>
            <w:r w:rsidRPr="000D3717">
              <w:rPr>
                <w:rFonts w:ascii="Times New Roman" w:hAnsi="Times New Roman" w:cs="Times New Roman"/>
                <w:sz w:val="24"/>
                <w:szCs w:val="24"/>
              </w:rPr>
              <w:t>enit 4, paragrafit 1 të ligjit bazik.</w:t>
            </w:r>
          </w:p>
          <w:p w14:paraId="451F4D80" w14:textId="77777777" w:rsidR="002A62D4" w:rsidRPr="000D3717" w:rsidRDefault="002A62D4" w:rsidP="00FF2F16">
            <w:pPr>
              <w:jc w:val="both"/>
              <w:rPr>
                <w:rFonts w:ascii="Times New Roman" w:hAnsi="Times New Roman" w:cs="Times New Roman"/>
                <w:sz w:val="24"/>
                <w:szCs w:val="24"/>
              </w:rPr>
            </w:pPr>
          </w:p>
          <w:p w14:paraId="5CECF20D"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Duke analizuar gjendjen aktuale të dispozitave  të  përcaktuara  në nenin 7A  të Ligjit Nr. 04/l-226 </w:t>
            </w:r>
            <w:r w:rsidR="003E43EE">
              <w:rPr>
                <w:rFonts w:ascii="Times New Roman" w:hAnsi="Times New Roman" w:cs="Times New Roman"/>
                <w:sz w:val="24"/>
                <w:szCs w:val="24"/>
              </w:rPr>
              <w:t>p</w:t>
            </w:r>
            <w:r w:rsidRPr="000D3717">
              <w:rPr>
                <w:rFonts w:ascii="Times New Roman" w:hAnsi="Times New Roman" w:cs="Times New Roman"/>
                <w:sz w:val="24"/>
                <w:szCs w:val="24"/>
              </w:rPr>
              <w:t xml:space="preserve">ër ndryshimin dhe plotësimin e Ligjit Nr. 03/l-229 </w:t>
            </w:r>
            <w:r w:rsidR="002A62D4" w:rsidRPr="000D3717">
              <w:rPr>
                <w:rFonts w:ascii="Times New Roman" w:hAnsi="Times New Roman" w:cs="Times New Roman"/>
                <w:sz w:val="24"/>
                <w:szCs w:val="24"/>
              </w:rPr>
              <w:t>p</w:t>
            </w:r>
            <w:r w:rsidRPr="000D3717">
              <w:rPr>
                <w:rFonts w:ascii="Times New Roman" w:hAnsi="Times New Roman" w:cs="Times New Roman"/>
                <w:sz w:val="24"/>
                <w:szCs w:val="24"/>
              </w:rPr>
              <w:t xml:space="preserve">ër Mbrojtjen e Konkurrencës, vihet re se ky nen duhet t’i specifikoj  se  cilat marrëveshje grupore duhen të përjashtohen. </w:t>
            </w:r>
          </w:p>
          <w:p w14:paraId="090ED2AA" w14:textId="77777777" w:rsidR="00FF2F16" w:rsidRPr="000D3717" w:rsidRDefault="00FF2F16" w:rsidP="00FF2F16">
            <w:pPr>
              <w:jc w:val="both"/>
              <w:rPr>
                <w:rFonts w:ascii="Times New Roman" w:hAnsi="Times New Roman" w:cs="Times New Roman"/>
                <w:sz w:val="24"/>
                <w:szCs w:val="24"/>
              </w:rPr>
            </w:pPr>
          </w:p>
          <w:p w14:paraId="18B4737D"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Ky vlerësim rrjedhë  mbas analizës së bërë të Ligjit Kroat  për mbrojtjen e konkurrencës  i cili  specifikon marrëveshjet konkrete për përjashtime grupore  </w:t>
            </w:r>
            <w:r w:rsidR="002A62D4" w:rsidRPr="000D3717">
              <w:rPr>
                <w:rFonts w:ascii="Times New Roman" w:hAnsi="Times New Roman" w:cs="Times New Roman"/>
                <w:sz w:val="24"/>
                <w:szCs w:val="24"/>
              </w:rPr>
              <w:t>siç</w:t>
            </w:r>
            <w:r w:rsidRPr="000D3717">
              <w:rPr>
                <w:rFonts w:ascii="Times New Roman" w:hAnsi="Times New Roman" w:cs="Times New Roman"/>
                <w:sz w:val="24"/>
                <w:szCs w:val="24"/>
              </w:rPr>
              <w:t xml:space="preserve">  janë në vijim:</w:t>
            </w:r>
          </w:p>
          <w:p w14:paraId="5DBF50EF" w14:textId="77777777" w:rsidR="00FF2F16" w:rsidRPr="000D3717" w:rsidRDefault="00FF2F16" w:rsidP="00FF2F16">
            <w:pPr>
              <w:jc w:val="both"/>
              <w:rPr>
                <w:rFonts w:ascii="Times New Roman" w:hAnsi="Times New Roman" w:cs="Times New Roman"/>
                <w:sz w:val="24"/>
                <w:szCs w:val="24"/>
              </w:rPr>
            </w:pPr>
          </w:p>
          <w:p w14:paraId="0F90C874" w14:textId="19ED506A"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1.Udhëzim administrativ </w:t>
            </w:r>
            <w:r w:rsidR="003E43EE">
              <w:rPr>
                <w:rFonts w:ascii="Times New Roman" w:hAnsi="Times New Roman" w:cs="Times New Roman"/>
                <w:sz w:val="24"/>
                <w:szCs w:val="24"/>
              </w:rPr>
              <w:t>N</w:t>
            </w:r>
            <w:r w:rsidRPr="000D3717">
              <w:rPr>
                <w:rFonts w:ascii="Times New Roman" w:hAnsi="Times New Roman" w:cs="Times New Roman"/>
                <w:sz w:val="24"/>
                <w:szCs w:val="24"/>
              </w:rPr>
              <w:t xml:space="preserve">r.06/2017 për </w:t>
            </w:r>
            <w:r w:rsidR="00A27A3C">
              <w:rPr>
                <w:rFonts w:ascii="Times New Roman" w:hAnsi="Times New Roman" w:cs="Times New Roman"/>
                <w:sz w:val="24"/>
                <w:szCs w:val="24"/>
              </w:rPr>
              <w:t>P</w:t>
            </w:r>
            <w:r w:rsidRPr="000D3717">
              <w:rPr>
                <w:rFonts w:ascii="Times New Roman" w:hAnsi="Times New Roman" w:cs="Times New Roman"/>
                <w:sz w:val="24"/>
                <w:szCs w:val="24"/>
              </w:rPr>
              <w:t xml:space="preserve">ërjashtimin </w:t>
            </w:r>
            <w:r w:rsidR="00A27A3C">
              <w:rPr>
                <w:rFonts w:ascii="Times New Roman" w:hAnsi="Times New Roman" w:cs="Times New Roman"/>
                <w:sz w:val="24"/>
                <w:szCs w:val="24"/>
              </w:rPr>
              <w:t>G</w:t>
            </w:r>
            <w:r w:rsidRPr="000D3717">
              <w:rPr>
                <w:rFonts w:ascii="Times New Roman" w:hAnsi="Times New Roman" w:cs="Times New Roman"/>
                <w:sz w:val="24"/>
                <w:szCs w:val="24"/>
              </w:rPr>
              <w:t xml:space="preserve">rupor të </w:t>
            </w:r>
            <w:r w:rsidR="00A27A3C">
              <w:rPr>
                <w:rFonts w:ascii="Times New Roman" w:hAnsi="Times New Roman" w:cs="Times New Roman"/>
                <w:sz w:val="24"/>
                <w:szCs w:val="24"/>
              </w:rPr>
              <w:t>M</w:t>
            </w:r>
            <w:r w:rsidRPr="000D3717">
              <w:rPr>
                <w:rFonts w:ascii="Times New Roman" w:hAnsi="Times New Roman" w:cs="Times New Roman"/>
                <w:sz w:val="24"/>
                <w:szCs w:val="24"/>
              </w:rPr>
              <w:t xml:space="preserve">arrëveshjes për </w:t>
            </w:r>
            <w:proofErr w:type="spellStart"/>
            <w:r w:rsidR="00A27A3C">
              <w:rPr>
                <w:rFonts w:ascii="Times New Roman" w:hAnsi="Times New Roman" w:cs="Times New Roman"/>
                <w:sz w:val="24"/>
                <w:szCs w:val="24"/>
              </w:rPr>
              <w:t>D</w:t>
            </w:r>
            <w:r w:rsidRPr="000D3717">
              <w:rPr>
                <w:rFonts w:ascii="Times New Roman" w:hAnsi="Times New Roman" w:cs="Times New Roman"/>
                <w:sz w:val="24"/>
                <w:szCs w:val="24"/>
              </w:rPr>
              <w:t>istribuimin</w:t>
            </w:r>
            <w:proofErr w:type="spellEnd"/>
            <w:r w:rsidRPr="000D3717">
              <w:rPr>
                <w:rFonts w:ascii="Times New Roman" w:hAnsi="Times New Roman" w:cs="Times New Roman"/>
                <w:sz w:val="24"/>
                <w:szCs w:val="24"/>
              </w:rPr>
              <w:t xml:space="preserve"> dhe </w:t>
            </w:r>
            <w:proofErr w:type="spellStart"/>
            <w:r w:rsidR="00A27A3C">
              <w:rPr>
                <w:rFonts w:ascii="Times New Roman" w:hAnsi="Times New Roman" w:cs="Times New Roman"/>
                <w:sz w:val="24"/>
                <w:szCs w:val="24"/>
              </w:rPr>
              <w:t>S</w:t>
            </w:r>
            <w:r w:rsidRPr="000D3717">
              <w:rPr>
                <w:rFonts w:ascii="Times New Roman" w:hAnsi="Times New Roman" w:cs="Times New Roman"/>
                <w:sz w:val="24"/>
                <w:szCs w:val="24"/>
              </w:rPr>
              <w:t>ervisimin</w:t>
            </w:r>
            <w:proofErr w:type="spellEnd"/>
            <w:r w:rsidRPr="000D3717">
              <w:rPr>
                <w:rFonts w:ascii="Times New Roman" w:hAnsi="Times New Roman" w:cs="Times New Roman"/>
                <w:sz w:val="24"/>
                <w:szCs w:val="24"/>
              </w:rPr>
              <w:t xml:space="preserve"> e </w:t>
            </w:r>
            <w:r w:rsidR="00A27A3C">
              <w:rPr>
                <w:rFonts w:ascii="Times New Roman" w:hAnsi="Times New Roman" w:cs="Times New Roman"/>
                <w:sz w:val="24"/>
                <w:szCs w:val="24"/>
              </w:rPr>
              <w:t>A</w:t>
            </w:r>
            <w:r w:rsidR="00A27A3C" w:rsidRPr="000D3717">
              <w:rPr>
                <w:rFonts w:ascii="Times New Roman" w:hAnsi="Times New Roman" w:cs="Times New Roman"/>
                <w:sz w:val="24"/>
                <w:szCs w:val="24"/>
              </w:rPr>
              <w:t xml:space="preserve">utomjeteve </w:t>
            </w:r>
            <w:r w:rsidR="00A27A3C">
              <w:rPr>
                <w:rFonts w:ascii="Times New Roman" w:hAnsi="Times New Roman" w:cs="Times New Roman"/>
                <w:sz w:val="24"/>
                <w:szCs w:val="24"/>
              </w:rPr>
              <w:t xml:space="preserve"> M</w:t>
            </w:r>
            <w:r w:rsidRPr="000D3717">
              <w:rPr>
                <w:rFonts w:ascii="Times New Roman" w:hAnsi="Times New Roman" w:cs="Times New Roman"/>
                <w:sz w:val="24"/>
                <w:szCs w:val="24"/>
              </w:rPr>
              <w:t>otorike;</w:t>
            </w:r>
          </w:p>
          <w:p w14:paraId="4066C5A2"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2.Udhëzim administrativ </w:t>
            </w:r>
            <w:r w:rsidR="003E43EE">
              <w:rPr>
                <w:rFonts w:ascii="Times New Roman" w:hAnsi="Times New Roman" w:cs="Times New Roman"/>
                <w:sz w:val="24"/>
                <w:szCs w:val="24"/>
              </w:rPr>
              <w:t>N</w:t>
            </w:r>
            <w:r w:rsidRPr="000D3717">
              <w:rPr>
                <w:rFonts w:ascii="Times New Roman" w:hAnsi="Times New Roman" w:cs="Times New Roman"/>
                <w:sz w:val="24"/>
                <w:szCs w:val="24"/>
              </w:rPr>
              <w:t>r. 05/2017 për përjashtimet grupore të marrëveshjeve në sektorin e sigurimeve;</w:t>
            </w:r>
          </w:p>
          <w:p w14:paraId="41B8BA3C"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3.Udhëzim administrativ </w:t>
            </w:r>
            <w:r w:rsidR="003E43EE">
              <w:rPr>
                <w:rFonts w:ascii="Times New Roman" w:hAnsi="Times New Roman" w:cs="Times New Roman"/>
                <w:sz w:val="24"/>
                <w:szCs w:val="24"/>
              </w:rPr>
              <w:t>N</w:t>
            </w:r>
            <w:r w:rsidRPr="000D3717">
              <w:rPr>
                <w:rFonts w:ascii="Times New Roman" w:hAnsi="Times New Roman" w:cs="Times New Roman"/>
                <w:sz w:val="24"/>
                <w:szCs w:val="24"/>
              </w:rPr>
              <w:t>r. 04/2017 për përjashtimet grupore të marrëveshjeve në sektorin e transportit;</w:t>
            </w:r>
          </w:p>
          <w:p w14:paraId="66CD563A"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4.Udhëzim administrativ </w:t>
            </w:r>
            <w:r w:rsidR="003E43EE">
              <w:rPr>
                <w:rFonts w:ascii="Times New Roman" w:hAnsi="Times New Roman" w:cs="Times New Roman"/>
                <w:sz w:val="24"/>
                <w:szCs w:val="24"/>
              </w:rPr>
              <w:t>N</w:t>
            </w:r>
            <w:r w:rsidRPr="000D3717">
              <w:rPr>
                <w:rFonts w:ascii="Times New Roman" w:hAnsi="Times New Roman" w:cs="Times New Roman"/>
                <w:sz w:val="24"/>
                <w:szCs w:val="24"/>
              </w:rPr>
              <w:t>r.03/2017 mbi përjashtimet grupore të marrëveshjeve vertikale të ndërmarrësve;</w:t>
            </w:r>
          </w:p>
          <w:p w14:paraId="6E71E561"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5.Udhëzim administrativ </w:t>
            </w:r>
            <w:r w:rsidR="00B87EA1">
              <w:rPr>
                <w:rFonts w:ascii="Times New Roman" w:hAnsi="Times New Roman" w:cs="Times New Roman"/>
                <w:sz w:val="24"/>
                <w:szCs w:val="24"/>
              </w:rPr>
              <w:t>N</w:t>
            </w:r>
            <w:r w:rsidRPr="000D3717">
              <w:rPr>
                <w:rFonts w:ascii="Times New Roman" w:hAnsi="Times New Roman" w:cs="Times New Roman"/>
                <w:sz w:val="24"/>
                <w:szCs w:val="24"/>
              </w:rPr>
              <w:t>r.02/2017 për përjashtimin grupor të marrëveshjeve horizontale ndërmjet ndërmarrësve;</w:t>
            </w:r>
          </w:p>
          <w:p w14:paraId="2279B32D"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6.Udhëzim administrativ </w:t>
            </w:r>
            <w:r w:rsidR="00B87EA1">
              <w:rPr>
                <w:rFonts w:ascii="Times New Roman" w:hAnsi="Times New Roman" w:cs="Times New Roman"/>
                <w:sz w:val="24"/>
                <w:szCs w:val="24"/>
              </w:rPr>
              <w:t>N</w:t>
            </w:r>
            <w:r w:rsidRPr="000D3717">
              <w:rPr>
                <w:rFonts w:ascii="Times New Roman" w:hAnsi="Times New Roman" w:cs="Times New Roman"/>
                <w:sz w:val="24"/>
                <w:szCs w:val="24"/>
              </w:rPr>
              <w:t>r. 05/2012 për kriteret dhe kushtet për caktimin e marrëveshjeve me vlerë të vogël;</w:t>
            </w:r>
          </w:p>
          <w:p w14:paraId="31DB7F6B"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7.Marrëveshjet e transferimit të teknologjisë.</w:t>
            </w:r>
          </w:p>
        </w:tc>
      </w:tr>
      <w:tr w:rsidR="00FF2F16" w:rsidRPr="000D3717" w14:paraId="3548E06F" w14:textId="77777777" w:rsidTr="00835D2A">
        <w:tc>
          <w:tcPr>
            <w:tcW w:w="3192" w:type="dxa"/>
          </w:tcPr>
          <w:p w14:paraId="2FFB97EC" w14:textId="77777777" w:rsidR="00FF2F16" w:rsidRPr="000D3717" w:rsidRDefault="00FF2F16" w:rsidP="00835D2A">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62000190" w14:textId="77777777" w:rsidR="00FF2F16" w:rsidRPr="000D3717" w:rsidRDefault="00FF2F16" w:rsidP="00FF2F16">
            <w:pPr>
              <w:jc w:val="both"/>
              <w:rPr>
                <w:rFonts w:ascii="Times New Roman" w:hAnsi="Times New Roman" w:cs="Times New Roman"/>
                <w:sz w:val="24"/>
                <w:szCs w:val="24"/>
              </w:rPr>
            </w:pPr>
            <w:r w:rsidRPr="000D3717">
              <w:rPr>
                <w:rFonts w:ascii="Times New Roman" w:hAnsi="Times New Roman" w:cs="Times New Roman"/>
                <w:sz w:val="24"/>
                <w:szCs w:val="24"/>
              </w:rPr>
              <w:t xml:space="preserve">Mungese e </w:t>
            </w:r>
            <w:proofErr w:type="spellStart"/>
            <w:r w:rsidRPr="000D3717">
              <w:rPr>
                <w:rFonts w:ascii="Times New Roman" w:hAnsi="Times New Roman" w:cs="Times New Roman"/>
                <w:sz w:val="24"/>
                <w:szCs w:val="24"/>
              </w:rPr>
              <w:t>definimit</w:t>
            </w:r>
            <w:proofErr w:type="spellEnd"/>
            <w:r w:rsidRPr="000D3717">
              <w:rPr>
                <w:rFonts w:ascii="Times New Roman" w:hAnsi="Times New Roman" w:cs="Times New Roman"/>
                <w:sz w:val="24"/>
                <w:szCs w:val="24"/>
              </w:rPr>
              <w:t xml:space="preserve"> të marrëveshjeve specifike për përjashtime grupore të cilat duhet të rregullohen me ligj  e jo me akte  nënligjore sepse mund të krijojnë efekte në procedura të panevojshme duke ndikuar në efikasitetin e vendimmarrjes së Autoritetit. </w:t>
            </w:r>
            <w:r w:rsidR="00184392" w:rsidRPr="000D3717">
              <w:rPr>
                <w:rFonts w:ascii="Times New Roman" w:hAnsi="Times New Roman" w:cs="Times New Roman"/>
                <w:sz w:val="24"/>
                <w:szCs w:val="24"/>
              </w:rPr>
              <w:t xml:space="preserve"> </w:t>
            </w:r>
            <w:r w:rsidRPr="000D3717">
              <w:rPr>
                <w:rFonts w:ascii="Times New Roman" w:hAnsi="Times New Roman" w:cs="Times New Roman"/>
                <w:sz w:val="24"/>
                <w:szCs w:val="24"/>
              </w:rPr>
              <w:t xml:space="preserve">Andaj rekomandojmë se me </w:t>
            </w:r>
            <w:r w:rsidR="00184392" w:rsidRPr="000D3717">
              <w:rPr>
                <w:rFonts w:ascii="Times New Roman" w:hAnsi="Times New Roman" w:cs="Times New Roman"/>
                <w:sz w:val="24"/>
                <w:szCs w:val="24"/>
              </w:rPr>
              <w:t>opsionin e definuar</w:t>
            </w:r>
            <w:r w:rsidRPr="000D3717">
              <w:rPr>
                <w:rFonts w:ascii="Times New Roman" w:hAnsi="Times New Roman" w:cs="Times New Roman"/>
                <w:sz w:val="24"/>
                <w:szCs w:val="24"/>
              </w:rPr>
              <w:t xml:space="preserve"> </w:t>
            </w:r>
            <w:r w:rsidR="00184392" w:rsidRPr="000D3717">
              <w:rPr>
                <w:rFonts w:ascii="Times New Roman" w:hAnsi="Times New Roman" w:cs="Times New Roman"/>
                <w:sz w:val="24"/>
                <w:szCs w:val="24"/>
              </w:rPr>
              <w:t>n</w:t>
            </w:r>
            <w:r w:rsidR="00B87EA1">
              <w:rPr>
                <w:rFonts w:ascii="Times New Roman" w:hAnsi="Times New Roman" w:cs="Times New Roman"/>
                <w:sz w:val="24"/>
                <w:szCs w:val="24"/>
              </w:rPr>
              <w:t>ë</w:t>
            </w:r>
            <w:r w:rsidR="00184392" w:rsidRPr="000D3717">
              <w:rPr>
                <w:rFonts w:ascii="Times New Roman" w:hAnsi="Times New Roman" w:cs="Times New Roman"/>
                <w:sz w:val="24"/>
                <w:szCs w:val="24"/>
              </w:rPr>
              <w:t xml:space="preserve"> këtë Koncept Dokument </w:t>
            </w:r>
            <w:r w:rsidRPr="000D3717">
              <w:rPr>
                <w:rFonts w:ascii="Times New Roman" w:hAnsi="Times New Roman" w:cs="Times New Roman"/>
                <w:sz w:val="24"/>
                <w:szCs w:val="24"/>
              </w:rPr>
              <w:t>të bëhet specifikimi i marrëveshjeve grupore.</w:t>
            </w:r>
          </w:p>
        </w:tc>
      </w:tr>
    </w:tbl>
    <w:p w14:paraId="47D6C41C" w14:textId="77777777" w:rsidR="00CF75F3" w:rsidRPr="000D3717" w:rsidRDefault="00CF75F3" w:rsidP="00FA5B87">
      <w:pPr>
        <w:pStyle w:val="ListParagraph"/>
        <w:rPr>
          <w:rFonts w:ascii="Times New Roman" w:hAnsi="Times New Roman" w:cs="Times New Roman"/>
          <w:b/>
          <w:sz w:val="24"/>
          <w:szCs w:val="24"/>
        </w:rPr>
      </w:pPr>
    </w:p>
    <w:tbl>
      <w:tblPr>
        <w:tblStyle w:val="TableGrid"/>
        <w:tblW w:w="9648" w:type="dxa"/>
        <w:tblLook w:val="04A0" w:firstRow="1" w:lastRow="0" w:firstColumn="1" w:lastColumn="0" w:noHBand="0" w:noVBand="1"/>
      </w:tblPr>
      <w:tblGrid>
        <w:gridCol w:w="3192"/>
        <w:gridCol w:w="6456"/>
      </w:tblGrid>
      <w:tr w:rsidR="00270F79" w:rsidRPr="000D3717" w14:paraId="05FE80FE" w14:textId="77777777" w:rsidTr="00341D3A">
        <w:tc>
          <w:tcPr>
            <w:tcW w:w="3192" w:type="dxa"/>
          </w:tcPr>
          <w:p w14:paraId="152E5272" w14:textId="77777777" w:rsidR="00270F79" w:rsidRPr="000D3717" w:rsidRDefault="00270F79" w:rsidP="00835D2A">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456" w:type="dxa"/>
          </w:tcPr>
          <w:p w14:paraId="2D1DA4F3" w14:textId="77777777" w:rsidR="003645D0" w:rsidRPr="003645D0" w:rsidRDefault="00270F79" w:rsidP="003645D0">
            <w:pPr>
              <w:jc w:val="both"/>
              <w:rPr>
                <w:rFonts w:ascii="Times New Roman" w:hAnsi="Times New Roman" w:cs="Times New Roman"/>
                <w:sz w:val="24"/>
                <w:szCs w:val="24"/>
              </w:rPr>
            </w:pPr>
            <w:r w:rsidRPr="000D3717">
              <w:rPr>
                <w:rFonts w:ascii="Times New Roman" w:hAnsi="Times New Roman" w:cs="Times New Roman"/>
                <w:sz w:val="24"/>
                <w:szCs w:val="24"/>
              </w:rPr>
              <w:t>1.</w:t>
            </w:r>
            <w:r w:rsidR="003645D0">
              <w:t xml:space="preserve"> </w:t>
            </w:r>
            <w:r w:rsidR="003645D0" w:rsidRPr="003645D0">
              <w:rPr>
                <w:rFonts w:ascii="Times New Roman" w:hAnsi="Times New Roman" w:cs="Times New Roman"/>
                <w:sz w:val="24"/>
                <w:szCs w:val="24"/>
              </w:rPr>
              <w:t xml:space="preserve">Neni 10 i Ligjit të Konkurrencës dhe Neni 6 i Ligjit për ndryshimin e Ligjit të Konkurrencës përcaktojnë kriteret për konstatimin e pozitës dominuese të një ndërmarrjeje. Si kriteret </w:t>
            </w:r>
            <w:r w:rsidR="003645D0" w:rsidRPr="003645D0">
              <w:rPr>
                <w:rFonts w:ascii="Times New Roman" w:hAnsi="Times New Roman" w:cs="Times New Roman"/>
                <w:sz w:val="24"/>
                <w:szCs w:val="24"/>
              </w:rPr>
              <w:lastRenderedPageBreak/>
              <w:t xml:space="preserve">e para thuhet se ndërmarrja ka një pozitë dominuese nëse “nuk i nënshtrohet konkurrencës së lirë në treg.”  </w:t>
            </w:r>
          </w:p>
          <w:p w14:paraId="654DC755" w14:textId="06E631D8" w:rsidR="003645D0" w:rsidRPr="003645D0" w:rsidRDefault="003645D0" w:rsidP="003645D0">
            <w:pPr>
              <w:jc w:val="both"/>
              <w:rPr>
                <w:rFonts w:ascii="Times New Roman" w:hAnsi="Times New Roman" w:cs="Times New Roman"/>
                <w:sz w:val="24"/>
                <w:szCs w:val="24"/>
              </w:rPr>
            </w:pPr>
            <w:r w:rsidRPr="003645D0">
              <w:rPr>
                <w:rFonts w:ascii="Times New Roman" w:hAnsi="Times New Roman" w:cs="Times New Roman"/>
                <w:sz w:val="24"/>
                <w:szCs w:val="24"/>
              </w:rPr>
              <w:t>Duke ju referuar kësaj dispozite, një ndërmarrje është dominuese atëherë kur nuk i ekspozohet presionit konkurrues në treg. Duhet cekur se pozita dominuese nuk është e jashtëligjshme, mirëpo</w:t>
            </w:r>
            <w:r w:rsidR="00B50677">
              <w:rPr>
                <w:rFonts w:ascii="Times New Roman" w:hAnsi="Times New Roman" w:cs="Times New Roman"/>
                <w:sz w:val="24"/>
                <w:szCs w:val="24"/>
              </w:rPr>
              <w:t>,</w:t>
            </w:r>
            <w:r w:rsidRPr="003645D0">
              <w:rPr>
                <w:rFonts w:ascii="Times New Roman" w:hAnsi="Times New Roman" w:cs="Times New Roman"/>
                <w:sz w:val="24"/>
                <w:szCs w:val="24"/>
              </w:rPr>
              <w:t xml:space="preserve"> abuzimi me pozitë dominuese. Formulimi aktual lë të nënkuptohet se </w:t>
            </w:r>
            <w:r w:rsidR="00A27A3C" w:rsidRPr="003645D0">
              <w:rPr>
                <w:rFonts w:ascii="Times New Roman" w:hAnsi="Times New Roman" w:cs="Times New Roman"/>
                <w:sz w:val="24"/>
                <w:szCs w:val="24"/>
              </w:rPr>
              <w:t>çdo</w:t>
            </w:r>
            <w:r w:rsidRPr="003645D0">
              <w:rPr>
                <w:rFonts w:ascii="Times New Roman" w:hAnsi="Times New Roman" w:cs="Times New Roman"/>
                <w:sz w:val="24"/>
                <w:szCs w:val="24"/>
              </w:rPr>
              <w:t xml:space="preserve"> ndërmarrje që ka pozitë dominuese në treg nuk i nënshtrohet konkurrencës së lirë, duke përjashtuar të gjitha ato ndërmarrje të cilat u janë nënshtruar konkurrencës së lirë dhe vazhdimisht janë të ekspozuara me presione </w:t>
            </w:r>
            <w:r w:rsidR="00A27A3C" w:rsidRPr="003645D0">
              <w:rPr>
                <w:rFonts w:ascii="Times New Roman" w:hAnsi="Times New Roman" w:cs="Times New Roman"/>
                <w:sz w:val="24"/>
                <w:szCs w:val="24"/>
              </w:rPr>
              <w:t>konkurrencë</w:t>
            </w:r>
            <w:r w:rsidRPr="003645D0">
              <w:rPr>
                <w:rFonts w:ascii="Times New Roman" w:hAnsi="Times New Roman" w:cs="Times New Roman"/>
                <w:sz w:val="24"/>
                <w:szCs w:val="24"/>
              </w:rPr>
              <w:t xml:space="preserve"> mirëpo arrijnë të mbajnë pozitë dominuese në treg për shkak të shërbimeve apo produkteve cilësore që ofrojnë. </w:t>
            </w:r>
          </w:p>
          <w:p w14:paraId="73E4E589" w14:textId="77777777" w:rsidR="003645D0" w:rsidRPr="003645D0" w:rsidRDefault="003645D0" w:rsidP="003645D0">
            <w:pPr>
              <w:jc w:val="both"/>
              <w:rPr>
                <w:rFonts w:ascii="Times New Roman" w:hAnsi="Times New Roman" w:cs="Times New Roman"/>
                <w:sz w:val="24"/>
                <w:szCs w:val="24"/>
              </w:rPr>
            </w:pPr>
            <w:r w:rsidRPr="003645D0">
              <w:rPr>
                <w:rFonts w:ascii="Times New Roman" w:hAnsi="Times New Roman" w:cs="Times New Roman"/>
                <w:sz w:val="24"/>
                <w:szCs w:val="24"/>
              </w:rPr>
              <w:t>Praktika relevante e BE-së dhe legjislacioni i BE-së për konkurrencën përcaktojnë kriteret që një kompani dominuese i nënshtrohet konkurrencës, por mund të veprojë pak a shumë në mënyrë të pavarur nga konkurrentët e saj.</w:t>
            </w:r>
          </w:p>
          <w:p w14:paraId="2F46BAEC" w14:textId="77777777" w:rsidR="009B343C" w:rsidRDefault="003645D0" w:rsidP="003645D0">
            <w:pPr>
              <w:jc w:val="both"/>
              <w:rPr>
                <w:rFonts w:ascii="Times New Roman" w:hAnsi="Times New Roman" w:cs="Times New Roman"/>
                <w:sz w:val="24"/>
                <w:szCs w:val="24"/>
              </w:rPr>
            </w:pPr>
            <w:r w:rsidRPr="003645D0">
              <w:rPr>
                <w:rFonts w:ascii="Times New Roman" w:hAnsi="Times New Roman" w:cs="Times New Roman"/>
                <w:sz w:val="24"/>
                <w:szCs w:val="24"/>
              </w:rPr>
              <w:t xml:space="preserve">Gjykata e BE-së në rastin e </w:t>
            </w:r>
            <w:proofErr w:type="spellStart"/>
            <w:r w:rsidRPr="003645D0">
              <w:rPr>
                <w:rFonts w:ascii="Times New Roman" w:hAnsi="Times New Roman" w:cs="Times New Roman"/>
                <w:sz w:val="24"/>
                <w:szCs w:val="24"/>
              </w:rPr>
              <w:t>United</w:t>
            </w:r>
            <w:proofErr w:type="spellEnd"/>
            <w:r w:rsidRPr="003645D0">
              <w:rPr>
                <w:rFonts w:ascii="Times New Roman" w:hAnsi="Times New Roman" w:cs="Times New Roman"/>
                <w:sz w:val="24"/>
                <w:szCs w:val="24"/>
              </w:rPr>
              <w:t xml:space="preserve"> </w:t>
            </w:r>
            <w:proofErr w:type="spellStart"/>
            <w:r w:rsidRPr="003645D0">
              <w:rPr>
                <w:rFonts w:ascii="Times New Roman" w:hAnsi="Times New Roman" w:cs="Times New Roman"/>
                <w:sz w:val="24"/>
                <w:szCs w:val="24"/>
              </w:rPr>
              <w:t>Brands</w:t>
            </w:r>
            <w:proofErr w:type="spellEnd"/>
            <w:r w:rsidRPr="003645D0">
              <w:rPr>
                <w:rFonts w:ascii="Times New Roman" w:hAnsi="Times New Roman" w:cs="Times New Roman"/>
                <w:sz w:val="24"/>
                <w:szCs w:val="24"/>
              </w:rPr>
              <w:t xml:space="preserve"> 27/76 (1978) dhe </w:t>
            </w:r>
            <w:proofErr w:type="spellStart"/>
            <w:r w:rsidRPr="003645D0">
              <w:rPr>
                <w:rFonts w:ascii="Times New Roman" w:hAnsi="Times New Roman" w:cs="Times New Roman"/>
                <w:sz w:val="24"/>
                <w:szCs w:val="24"/>
              </w:rPr>
              <w:t>Hoffmann</w:t>
            </w:r>
            <w:proofErr w:type="spellEnd"/>
            <w:r w:rsidRPr="003645D0">
              <w:rPr>
                <w:rFonts w:ascii="Times New Roman" w:hAnsi="Times New Roman" w:cs="Times New Roman"/>
                <w:sz w:val="24"/>
                <w:szCs w:val="24"/>
              </w:rPr>
              <w:t xml:space="preserve">-La </w:t>
            </w:r>
            <w:proofErr w:type="spellStart"/>
            <w:r w:rsidRPr="003645D0">
              <w:rPr>
                <w:rFonts w:ascii="Times New Roman" w:hAnsi="Times New Roman" w:cs="Times New Roman"/>
                <w:sz w:val="24"/>
                <w:szCs w:val="24"/>
              </w:rPr>
              <w:t>Roche</w:t>
            </w:r>
            <w:proofErr w:type="spellEnd"/>
            <w:r w:rsidRPr="003645D0">
              <w:rPr>
                <w:rFonts w:ascii="Times New Roman" w:hAnsi="Times New Roman" w:cs="Times New Roman"/>
                <w:sz w:val="24"/>
                <w:szCs w:val="24"/>
              </w:rPr>
              <w:t xml:space="preserve"> 85/76 (1979) konstaton që: “Pozita dominuese i referohet fuqisë ekonomike të cilën e gëzon një ndërmarrje dhe e cila e lejon atë ndërmarrje të parandalojë konkurrencën efektive në tregun relevant, duke i dhënë asaj fuqinë që në një masë të konsiderueshme të sillet e pavarur nga konkurrentët e saj, blerësit dhe konsumatorët.”</w:t>
            </w:r>
          </w:p>
          <w:p w14:paraId="477DB6D7" w14:textId="77777777" w:rsidR="009B343C" w:rsidRDefault="009B343C" w:rsidP="00270F79">
            <w:pPr>
              <w:jc w:val="both"/>
              <w:rPr>
                <w:rFonts w:ascii="Times New Roman" w:hAnsi="Times New Roman" w:cs="Times New Roman"/>
                <w:sz w:val="24"/>
                <w:szCs w:val="24"/>
              </w:rPr>
            </w:pPr>
          </w:p>
          <w:p w14:paraId="3CDC3E68" w14:textId="77777777" w:rsidR="00270F79" w:rsidRPr="000D3717" w:rsidRDefault="009B343C" w:rsidP="00270F79">
            <w:pPr>
              <w:jc w:val="both"/>
              <w:rPr>
                <w:rFonts w:ascii="Times New Roman" w:hAnsi="Times New Roman" w:cs="Times New Roman"/>
                <w:sz w:val="24"/>
                <w:szCs w:val="24"/>
              </w:rPr>
            </w:pPr>
            <w:r>
              <w:rPr>
                <w:rFonts w:ascii="Times New Roman" w:hAnsi="Times New Roman" w:cs="Times New Roman"/>
                <w:sz w:val="24"/>
                <w:szCs w:val="24"/>
              </w:rPr>
              <w:t>2.</w:t>
            </w:r>
            <w:r w:rsidR="00270F79" w:rsidRPr="000D3717">
              <w:rPr>
                <w:rFonts w:ascii="Times New Roman" w:hAnsi="Times New Roman" w:cs="Times New Roman"/>
                <w:sz w:val="24"/>
                <w:szCs w:val="24"/>
              </w:rPr>
              <w:t>Paragrafi i dytë</w:t>
            </w:r>
            <w:r w:rsidR="008A798D" w:rsidRPr="000D3717">
              <w:rPr>
                <w:rFonts w:ascii="Times New Roman" w:hAnsi="Times New Roman" w:cs="Times New Roman"/>
                <w:sz w:val="24"/>
                <w:szCs w:val="24"/>
              </w:rPr>
              <w:t xml:space="preserve"> i</w:t>
            </w:r>
            <w:r w:rsidR="00270F79" w:rsidRPr="000D3717">
              <w:rPr>
                <w:rFonts w:ascii="Times New Roman" w:hAnsi="Times New Roman" w:cs="Times New Roman"/>
                <w:sz w:val="24"/>
                <w:szCs w:val="24"/>
              </w:rPr>
              <w:t xml:space="preserve"> </w:t>
            </w:r>
            <w:r w:rsidR="00B87EA1">
              <w:rPr>
                <w:rFonts w:ascii="Times New Roman" w:hAnsi="Times New Roman" w:cs="Times New Roman"/>
                <w:sz w:val="24"/>
                <w:szCs w:val="24"/>
              </w:rPr>
              <w:t>n</w:t>
            </w:r>
            <w:r w:rsidR="00270F79" w:rsidRPr="000D3717">
              <w:rPr>
                <w:rFonts w:ascii="Times New Roman" w:hAnsi="Times New Roman" w:cs="Times New Roman"/>
                <w:sz w:val="24"/>
                <w:szCs w:val="24"/>
              </w:rPr>
              <w:t xml:space="preserve">enit 10 </w:t>
            </w:r>
            <w:r w:rsidR="00B87EA1">
              <w:rPr>
                <w:rFonts w:ascii="Times New Roman" w:hAnsi="Times New Roman" w:cs="Times New Roman"/>
                <w:sz w:val="24"/>
                <w:szCs w:val="24"/>
              </w:rPr>
              <w:t>të</w:t>
            </w:r>
            <w:r w:rsidR="00270F79" w:rsidRPr="000D3717">
              <w:rPr>
                <w:rFonts w:ascii="Times New Roman" w:hAnsi="Times New Roman" w:cs="Times New Roman"/>
                <w:sz w:val="24"/>
                <w:szCs w:val="24"/>
              </w:rPr>
              <w:t xml:space="preserve"> Ligjit Nr. 03/L-229 ka përcaktuar  pragun e pjesëmarrjes së një ndërmarrjeje në treg prej 40% për t’u cilësuar se ajo ndërmarrje ka pozitë dominuese në tregun përkatës. Mirëpo, me </w:t>
            </w:r>
            <w:r w:rsidR="00B87EA1">
              <w:rPr>
                <w:rFonts w:ascii="Times New Roman" w:hAnsi="Times New Roman" w:cs="Times New Roman"/>
                <w:sz w:val="24"/>
                <w:szCs w:val="24"/>
              </w:rPr>
              <w:t>n</w:t>
            </w:r>
            <w:r w:rsidR="00270F79" w:rsidRPr="000D3717">
              <w:rPr>
                <w:rFonts w:ascii="Times New Roman" w:hAnsi="Times New Roman" w:cs="Times New Roman"/>
                <w:sz w:val="24"/>
                <w:szCs w:val="24"/>
              </w:rPr>
              <w:t>enin 6 të Ligjit Nr. 04/L-226, kjo p</w:t>
            </w:r>
            <w:r w:rsidR="005F230E" w:rsidRPr="000D3717">
              <w:rPr>
                <w:rFonts w:ascii="Times New Roman" w:hAnsi="Times New Roman" w:cs="Times New Roman"/>
                <w:sz w:val="24"/>
                <w:szCs w:val="24"/>
              </w:rPr>
              <w:t>ërqindje është zvogëluar nga</w:t>
            </w:r>
            <w:r w:rsidR="00270F79" w:rsidRPr="000D3717">
              <w:rPr>
                <w:rFonts w:ascii="Times New Roman" w:hAnsi="Times New Roman" w:cs="Times New Roman"/>
                <w:sz w:val="24"/>
                <w:szCs w:val="24"/>
              </w:rPr>
              <w:t xml:space="preserve"> 40% në 25%. Lidhur me këtë, </w:t>
            </w:r>
            <w:r w:rsidR="00B87EA1">
              <w:rPr>
                <w:rFonts w:ascii="Times New Roman" w:hAnsi="Times New Roman" w:cs="Times New Roman"/>
                <w:sz w:val="24"/>
                <w:szCs w:val="24"/>
              </w:rPr>
              <w:t>n</w:t>
            </w:r>
            <w:r w:rsidR="00270F79" w:rsidRPr="000D3717">
              <w:rPr>
                <w:rFonts w:ascii="Times New Roman" w:hAnsi="Times New Roman" w:cs="Times New Roman"/>
                <w:sz w:val="24"/>
                <w:szCs w:val="24"/>
              </w:rPr>
              <w:t xml:space="preserve">eni 102 i TFEB-së rregullon format e abuzimit me pozitë dominuese mirëpo nuk përcakton ndonjë pjesëmarrje në treg për të vlerësuar pozitën dominuese të një ndërmarrjeje. Mirëpo, bazuar në dokumentet e tjera të BE-së dhe praktikën gjyqësore, një ndërmarrje konsiderohet se ka pozitë dominuese në treg nëse ka 40% të pjesëmarrjes në tregun </w:t>
            </w:r>
            <w:r w:rsidR="00CA1A10" w:rsidRPr="000D3717">
              <w:rPr>
                <w:rFonts w:ascii="Times New Roman" w:hAnsi="Times New Roman" w:cs="Times New Roman"/>
                <w:sz w:val="24"/>
                <w:szCs w:val="24"/>
              </w:rPr>
              <w:t>relevant</w:t>
            </w:r>
            <w:r w:rsidR="00270F79" w:rsidRPr="000D3717">
              <w:rPr>
                <w:rFonts w:ascii="Times New Roman" w:hAnsi="Times New Roman" w:cs="Times New Roman"/>
                <w:sz w:val="24"/>
                <w:szCs w:val="24"/>
              </w:rPr>
              <w:t xml:space="preserve">. </w:t>
            </w:r>
          </w:p>
          <w:p w14:paraId="6852EFA0" w14:textId="77777777" w:rsidR="00270F79" w:rsidRPr="000D3717" w:rsidRDefault="00270F79" w:rsidP="00270F79">
            <w:pPr>
              <w:jc w:val="both"/>
              <w:rPr>
                <w:rFonts w:ascii="Times New Roman" w:hAnsi="Times New Roman" w:cs="Times New Roman"/>
                <w:sz w:val="24"/>
                <w:szCs w:val="24"/>
              </w:rPr>
            </w:pPr>
          </w:p>
          <w:p w14:paraId="50BFB0C7" w14:textId="77777777" w:rsidR="00270F79" w:rsidRPr="000D3717" w:rsidRDefault="006A2DDB" w:rsidP="00270F79">
            <w:pPr>
              <w:jc w:val="both"/>
              <w:rPr>
                <w:rFonts w:ascii="Times New Roman" w:hAnsi="Times New Roman" w:cs="Times New Roman"/>
                <w:sz w:val="24"/>
                <w:szCs w:val="24"/>
              </w:rPr>
            </w:pPr>
            <w:r>
              <w:rPr>
                <w:rFonts w:ascii="Times New Roman" w:hAnsi="Times New Roman" w:cs="Times New Roman"/>
                <w:sz w:val="24"/>
                <w:szCs w:val="24"/>
              </w:rPr>
              <w:t>3</w:t>
            </w:r>
            <w:r w:rsidR="00270F79" w:rsidRPr="000D3717">
              <w:rPr>
                <w:rFonts w:ascii="Times New Roman" w:hAnsi="Times New Roman" w:cs="Times New Roman"/>
                <w:sz w:val="24"/>
                <w:szCs w:val="24"/>
              </w:rPr>
              <w:t xml:space="preserve">.Paragrafi </w:t>
            </w:r>
            <w:r w:rsidR="002E4003" w:rsidRPr="000D3717">
              <w:rPr>
                <w:rFonts w:ascii="Times New Roman" w:hAnsi="Times New Roman" w:cs="Times New Roman"/>
                <w:sz w:val="24"/>
                <w:szCs w:val="24"/>
              </w:rPr>
              <w:t>i trete</w:t>
            </w:r>
            <w:r w:rsidR="00270F79" w:rsidRPr="000D3717">
              <w:rPr>
                <w:rFonts w:ascii="Times New Roman" w:hAnsi="Times New Roman" w:cs="Times New Roman"/>
                <w:sz w:val="24"/>
                <w:szCs w:val="24"/>
              </w:rPr>
              <w:t xml:space="preserve"> i </w:t>
            </w:r>
            <w:r w:rsidR="00065264">
              <w:rPr>
                <w:rFonts w:ascii="Times New Roman" w:hAnsi="Times New Roman" w:cs="Times New Roman"/>
                <w:sz w:val="24"/>
                <w:szCs w:val="24"/>
              </w:rPr>
              <w:t>n</w:t>
            </w:r>
            <w:r w:rsidR="00270F79" w:rsidRPr="000D3717">
              <w:rPr>
                <w:rFonts w:ascii="Times New Roman" w:hAnsi="Times New Roman" w:cs="Times New Roman"/>
                <w:sz w:val="24"/>
                <w:szCs w:val="24"/>
              </w:rPr>
              <w:t>enit 10 (i plotësuar nga neni 6) rregullon pozitën dominuese të dy apo më shumë ndërmarrjeve të cilat ve</w:t>
            </w:r>
            <w:r w:rsidR="005F230E" w:rsidRPr="000D3717">
              <w:rPr>
                <w:rFonts w:ascii="Times New Roman" w:hAnsi="Times New Roman" w:cs="Times New Roman"/>
                <w:sz w:val="24"/>
                <w:szCs w:val="24"/>
              </w:rPr>
              <w:t>projnë bashkërisht në tregun rele</w:t>
            </w:r>
            <w:r w:rsidR="00270F79" w:rsidRPr="000D3717">
              <w:rPr>
                <w:rFonts w:ascii="Times New Roman" w:hAnsi="Times New Roman" w:cs="Times New Roman"/>
                <w:sz w:val="24"/>
                <w:szCs w:val="24"/>
              </w:rPr>
              <w:t xml:space="preserve">vant dhe pjesëmarrja e përgjithshme është më e lartë se 40%. Pozita e përbashkët dominuese nuk do të thotë që ndërmarrjet </w:t>
            </w:r>
            <w:proofErr w:type="spellStart"/>
            <w:r w:rsidR="00270F79" w:rsidRPr="000D3717">
              <w:rPr>
                <w:rFonts w:ascii="Times New Roman" w:hAnsi="Times New Roman" w:cs="Times New Roman"/>
                <w:sz w:val="24"/>
                <w:szCs w:val="24"/>
              </w:rPr>
              <w:t>kushtimisht</w:t>
            </w:r>
            <w:proofErr w:type="spellEnd"/>
            <w:r w:rsidR="00270F79" w:rsidRPr="000D3717">
              <w:rPr>
                <w:rFonts w:ascii="Times New Roman" w:hAnsi="Times New Roman" w:cs="Times New Roman"/>
                <w:sz w:val="24"/>
                <w:szCs w:val="24"/>
              </w:rPr>
              <w:t xml:space="preserve"> operojnë </w:t>
            </w:r>
            <w:r w:rsidR="00B87EA1" w:rsidRPr="000D3717">
              <w:rPr>
                <w:rFonts w:ascii="Times New Roman" w:hAnsi="Times New Roman" w:cs="Times New Roman"/>
                <w:sz w:val="24"/>
                <w:szCs w:val="24"/>
              </w:rPr>
              <w:t>bashkërisht</w:t>
            </w:r>
            <w:r w:rsidR="00270F79" w:rsidRPr="000D3717">
              <w:rPr>
                <w:rFonts w:ascii="Times New Roman" w:hAnsi="Times New Roman" w:cs="Times New Roman"/>
                <w:sz w:val="24"/>
                <w:szCs w:val="24"/>
              </w:rPr>
              <w:t xml:space="preserve"> në treg, por pozita e tyre ju lejon që të vendosin kushte në treg që mund të dëmtojnë konkurrentët e tjerë. Po ashtu në nivel të BE-së pjesëmarrja në treg është e vendosur rreth 80%.  </w:t>
            </w:r>
          </w:p>
          <w:p w14:paraId="64EDB275" w14:textId="77777777" w:rsidR="00270F79" w:rsidRPr="000D3717" w:rsidRDefault="00270F79" w:rsidP="00270F79">
            <w:pPr>
              <w:jc w:val="both"/>
              <w:rPr>
                <w:rFonts w:ascii="Times New Roman" w:hAnsi="Times New Roman" w:cs="Times New Roman"/>
                <w:sz w:val="24"/>
                <w:szCs w:val="24"/>
              </w:rPr>
            </w:pPr>
            <w:r w:rsidRPr="000D3717">
              <w:rPr>
                <w:rFonts w:ascii="Times New Roman" w:hAnsi="Times New Roman" w:cs="Times New Roman"/>
                <w:sz w:val="24"/>
                <w:szCs w:val="24"/>
              </w:rPr>
              <w:lastRenderedPageBreak/>
              <w:t xml:space="preserve"> </w:t>
            </w:r>
          </w:p>
          <w:p w14:paraId="0DE42F7D" w14:textId="77777777" w:rsidR="00270F79" w:rsidRPr="000D3717" w:rsidRDefault="00270F79" w:rsidP="00270F79">
            <w:pPr>
              <w:jc w:val="both"/>
              <w:rPr>
                <w:rFonts w:ascii="Times New Roman" w:hAnsi="Times New Roman" w:cs="Times New Roman"/>
                <w:sz w:val="24"/>
                <w:szCs w:val="24"/>
              </w:rPr>
            </w:pPr>
          </w:p>
        </w:tc>
      </w:tr>
      <w:tr w:rsidR="00270F79" w:rsidRPr="000D3717" w14:paraId="7142369C" w14:textId="77777777" w:rsidTr="00341D3A">
        <w:tc>
          <w:tcPr>
            <w:tcW w:w="3192" w:type="dxa"/>
          </w:tcPr>
          <w:p w14:paraId="0FA734B1" w14:textId="77777777" w:rsidR="00270F79" w:rsidRPr="000D3717" w:rsidRDefault="00270F79" w:rsidP="00835D2A">
            <w:pPr>
              <w:rPr>
                <w:rFonts w:ascii="Times New Roman" w:hAnsi="Times New Roman" w:cs="Times New Roman"/>
                <w:b/>
                <w:sz w:val="24"/>
                <w:szCs w:val="24"/>
              </w:rPr>
            </w:pPr>
            <w:r w:rsidRPr="000D3717">
              <w:rPr>
                <w:rFonts w:ascii="Times New Roman" w:hAnsi="Times New Roman" w:cs="Times New Roman"/>
                <w:b/>
                <w:sz w:val="24"/>
                <w:szCs w:val="24"/>
              </w:rPr>
              <w:lastRenderedPageBreak/>
              <w:t>REKOMANDIMI</w:t>
            </w:r>
          </w:p>
        </w:tc>
        <w:tc>
          <w:tcPr>
            <w:tcW w:w="6456" w:type="dxa"/>
          </w:tcPr>
          <w:p w14:paraId="1C9D286B" w14:textId="77777777" w:rsidR="00270F79" w:rsidRDefault="005F230E" w:rsidP="00270F79">
            <w:pPr>
              <w:jc w:val="both"/>
              <w:rPr>
                <w:rFonts w:ascii="Times New Roman" w:hAnsi="Times New Roman" w:cs="Times New Roman"/>
                <w:sz w:val="24"/>
                <w:szCs w:val="24"/>
              </w:rPr>
            </w:pPr>
            <w:r w:rsidRPr="000D3717">
              <w:rPr>
                <w:rFonts w:ascii="Times New Roman" w:hAnsi="Times New Roman" w:cs="Times New Roman"/>
                <w:sz w:val="24"/>
                <w:szCs w:val="24"/>
              </w:rPr>
              <w:t>Përqindja</w:t>
            </w:r>
            <w:r w:rsidR="00270F79" w:rsidRPr="000D3717">
              <w:rPr>
                <w:rFonts w:ascii="Times New Roman" w:hAnsi="Times New Roman" w:cs="Times New Roman"/>
                <w:sz w:val="24"/>
                <w:szCs w:val="24"/>
              </w:rPr>
              <w:t xml:space="preserve"> e </w:t>
            </w:r>
            <w:r w:rsidR="00B87EA1" w:rsidRPr="000D3717">
              <w:rPr>
                <w:rFonts w:ascii="Times New Roman" w:hAnsi="Times New Roman" w:cs="Times New Roman"/>
                <w:sz w:val="24"/>
                <w:szCs w:val="24"/>
              </w:rPr>
              <w:t>pozitës</w:t>
            </w:r>
            <w:r w:rsidR="00270F79" w:rsidRPr="000D3717">
              <w:rPr>
                <w:rFonts w:ascii="Times New Roman" w:hAnsi="Times New Roman" w:cs="Times New Roman"/>
                <w:sz w:val="24"/>
                <w:szCs w:val="24"/>
              </w:rPr>
              <w:t xml:space="preserve"> dominuese n</w:t>
            </w:r>
            <w:r w:rsidR="00B87EA1">
              <w:rPr>
                <w:rFonts w:ascii="Times New Roman" w:hAnsi="Times New Roman" w:cs="Times New Roman"/>
                <w:sz w:val="24"/>
                <w:szCs w:val="24"/>
              </w:rPr>
              <w:t>ë</w:t>
            </w:r>
            <w:r w:rsidR="00270F79" w:rsidRPr="000D3717">
              <w:rPr>
                <w:rFonts w:ascii="Times New Roman" w:hAnsi="Times New Roman" w:cs="Times New Roman"/>
                <w:sz w:val="24"/>
                <w:szCs w:val="24"/>
              </w:rPr>
              <w:t xml:space="preserve"> tregun relevant t</w:t>
            </w:r>
            <w:r w:rsidR="00B87EA1">
              <w:rPr>
                <w:rFonts w:ascii="Times New Roman" w:hAnsi="Times New Roman" w:cs="Times New Roman"/>
                <w:sz w:val="24"/>
                <w:szCs w:val="24"/>
              </w:rPr>
              <w:t>ë</w:t>
            </w:r>
            <w:r w:rsidR="00270F79" w:rsidRPr="000D3717">
              <w:rPr>
                <w:rFonts w:ascii="Times New Roman" w:hAnsi="Times New Roman" w:cs="Times New Roman"/>
                <w:sz w:val="24"/>
                <w:szCs w:val="24"/>
              </w:rPr>
              <w:t xml:space="preserve"> ndryshohet nga njëzetepesë  (25 %) t</w:t>
            </w:r>
            <w:r w:rsidR="00B87EA1">
              <w:rPr>
                <w:rFonts w:ascii="Times New Roman" w:hAnsi="Times New Roman" w:cs="Times New Roman"/>
                <w:sz w:val="24"/>
                <w:szCs w:val="24"/>
              </w:rPr>
              <w:t>ë</w:t>
            </w:r>
            <w:r w:rsidR="00270F79" w:rsidRPr="000D3717">
              <w:rPr>
                <w:rFonts w:ascii="Times New Roman" w:hAnsi="Times New Roman" w:cs="Times New Roman"/>
                <w:sz w:val="24"/>
                <w:szCs w:val="24"/>
              </w:rPr>
              <w:t xml:space="preserve"> vendoset  n</w:t>
            </w:r>
            <w:r w:rsidR="00B87EA1">
              <w:rPr>
                <w:rFonts w:ascii="Times New Roman" w:hAnsi="Times New Roman" w:cs="Times New Roman"/>
                <w:sz w:val="24"/>
                <w:szCs w:val="24"/>
              </w:rPr>
              <w:t>ë</w:t>
            </w:r>
            <w:r w:rsidR="00270F79" w:rsidRPr="000D3717">
              <w:rPr>
                <w:rFonts w:ascii="Times New Roman" w:hAnsi="Times New Roman" w:cs="Times New Roman"/>
                <w:sz w:val="24"/>
                <w:szCs w:val="24"/>
              </w:rPr>
              <w:t xml:space="preserve">   (40%).</w:t>
            </w:r>
          </w:p>
          <w:p w14:paraId="54245A9A" w14:textId="77777777" w:rsidR="00DE67FA" w:rsidRDefault="00DE67FA" w:rsidP="00270F79">
            <w:pPr>
              <w:jc w:val="both"/>
              <w:rPr>
                <w:rFonts w:ascii="Times New Roman" w:hAnsi="Times New Roman" w:cs="Times New Roman"/>
                <w:sz w:val="24"/>
                <w:szCs w:val="24"/>
              </w:rPr>
            </w:pPr>
          </w:p>
          <w:p w14:paraId="11B49599" w14:textId="77777777" w:rsidR="00DE67FA" w:rsidRDefault="00DE67FA" w:rsidP="00DE67FA">
            <w:pPr>
              <w:jc w:val="both"/>
              <w:rPr>
                <w:rFonts w:ascii="Times New Roman" w:hAnsi="Times New Roman" w:cs="Times New Roman"/>
                <w:sz w:val="24"/>
                <w:szCs w:val="24"/>
              </w:rPr>
            </w:pPr>
            <w:r>
              <w:rPr>
                <w:rFonts w:ascii="Times New Roman" w:hAnsi="Times New Roman" w:cs="Times New Roman"/>
                <w:sz w:val="24"/>
                <w:szCs w:val="24"/>
              </w:rPr>
              <w:t>R</w:t>
            </w:r>
            <w:r w:rsidRPr="003645D0">
              <w:rPr>
                <w:rFonts w:ascii="Times New Roman" w:hAnsi="Times New Roman" w:cs="Times New Roman"/>
                <w:sz w:val="24"/>
                <w:szCs w:val="24"/>
              </w:rPr>
              <w:t xml:space="preserve">ekomandohet që paragrafi 1.1 i nenit 10 </w:t>
            </w:r>
            <w:r>
              <w:rPr>
                <w:rFonts w:ascii="Times New Roman" w:hAnsi="Times New Roman" w:cs="Times New Roman"/>
                <w:sz w:val="24"/>
                <w:szCs w:val="24"/>
              </w:rPr>
              <w:t xml:space="preserve">qe përcakton kriteret për përcaktimin e pozitës dominues </w:t>
            </w:r>
            <w:r w:rsidRPr="003645D0">
              <w:rPr>
                <w:rFonts w:ascii="Times New Roman" w:hAnsi="Times New Roman" w:cs="Times New Roman"/>
                <w:sz w:val="24"/>
                <w:szCs w:val="24"/>
              </w:rPr>
              <w:t>të ndryshohet duke u bazuar në praktikën gjyqësore të BE-së.</w:t>
            </w:r>
          </w:p>
          <w:p w14:paraId="57DBC547" w14:textId="77777777" w:rsidR="00270F79" w:rsidRDefault="00270F79" w:rsidP="00BB3C6A">
            <w:pPr>
              <w:jc w:val="both"/>
              <w:rPr>
                <w:rFonts w:ascii="Times New Roman" w:hAnsi="Times New Roman" w:cs="Times New Roman"/>
                <w:sz w:val="24"/>
                <w:szCs w:val="24"/>
              </w:rPr>
            </w:pPr>
            <w:r w:rsidRPr="000D3717">
              <w:rPr>
                <w:rFonts w:ascii="Times New Roman" w:hAnsi="Times New Roman" w:cs="Times New Roman"/>
                <w:sz w:val="24"/>
                <w:szCs w:val="24"/>
              </w:rPr>
              <w:t>Të qartësohet pozita e përbashkët dominuese e dy apo më shumë ndërmarrjeve dhe të rritet pragu për pozitën dominuese të dy apo më shumë ndërmarrjeve në tregun relevant nga 40% në 50% - 60%. Në nivel të BE-së pjesëmarrja në treg është e vendosur  80%.</w:t>
            </w:r>
            <w:r w:rsidR="00572333" w:rsidRPr="000D3717">
              <w:rPr>
                <w:rFonts w:ascii="Times New Roman" w:hAnsi="Times New Roman" w:cs="Times New Roman"/>
                <w:sz w:val="24"/>
                <w:szCs w:val="24"/>
              </w:rPr>
              <w:t xml:space="preserve">  </w:t>
            </w:r>
          </w:p>
          <w:p w14:paraId="252C2590" w14:textId="77777777" w:rsidR="003645D0" w:rsidRDefault="003645D0" w:rsidP="00BB3C6A">
            <w:pPr>
              <w:jc w:val="both"/>
              <w:rPr>
                <w:rFonts w:ascii="Times New Roman" w:hAnsi="Times New Roman" w:cs="Times New Roman"/>
                <w:sz w:val="24"/>
                <w:szCs w:val="24"/>
              </w:rPr>
            </w:pPr>
          </w:p>
          <w:p w14:paraId="29A9C6F4" w14:textId="77777777" w:rsidR="003645D0" w:rsidRPr="000D3717" w:rsidRDefault="003645D0" w:rsidP="00BB3C6A">
            <w:pPr>
              <w:jc w:val="both"/>
              <w:rPr>
                <w:rFonts w:ascii="Times New Roman" w:hAnsi="Times New Roman" w:cs="Times New Roman"/>
                <w:sz w:val="24"/>
                <w:szCs w:val="24"/>
              </w:rPr>
            </w:pPr>
          </w:p>
        </w:tc>
      </w:tr>
    </w:tbl>
    <w:p w14:paraId="1435F2D0" w14:textId="77777777" w:rsidR="00FF2F16" w:rsidRPr="000D3717" w:rsidRDefault="00FF2F16"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835D2A" w:rsidRPr="000D3717" w14:paraId="7FDF64C9" w14:textId="77777777" w:rsidTr="00835D2A">
        <w:tc>
          <w:tcPr>
            <w:tcW w:w="3192" w:type="dxa"/>
          </w:tcPr>
          <w:p w14:paraId="74B0DE04"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40423218" w14:textId="5523CC52" w:rsidR="000329FA" w:rsidRPr="000D3717" w:rsidRDefault="000329FA" w:rsidP="000329FA">
            <w:pPr>
              <w:rPr>
                <w:rFonts w:ascii="Times New Roman" w:hAnsi="Times New Roman" w:cs="Times New Roman"/>
                <w:sz w:val="24"/>
                <w:szCs w:val="24"/>
              </w:rPr>
            </w:pPr>
            <w:r w:rsidRPr="000D3717">
              <w:rPr>
                <w:rFonts w:ascii="Times New Roman" w:hAnsi="Times New Roman" w:cs="Times New Roman"/>
                <w:sz w:val="24"/>
                <w:szCs w:val="24"/>
              </w:rPr>
              <w:t>Bazuar n</w:t>
            </w:r>
            <w:r w:rsidR="001217BA">
              <w:rPr>
                <w:rFonts w:ascii="Times New Roman" w:hAnsi="Times New Roman" w:cs="Times New Roman"/>
                <w:sz w:val="24"/>
                <w:szCs w:val="24"/>
              </w:rPr>
              <w:t>ë</w:t>
            </w:r>
            <w:r w:rsidRPr="000D3717">
              <w:rPr>
                <w:rFonts w:ascii="Times New Roman" w:hAnsi="Times New Roman" w:cs="Times New Roman"/>
                <w:sz w:val="24"/>
                <w:szCs w:val="24"/>
              </w:rPr>
              <w:t xml:space="preserve"> </w:t>
            </w:r>
            <w:r w:rsidR="00B87EA1">
              <w:rPr>
                <w:rFonts w:ascii="Times New Roman" w:hAnsi="Times New Roman" w:cs="Times New Roman"/>
                <w:sz w:val="24"/>
                <w:szCs w:val="24"/>
              </w:rPr>
              <w:t>n</w:t>
            </w:r>
            <w:r w:rsidRPr="000D3717">
              <w:rPr>
                <w:rFonts w:ascii="Times New Roman" w:hAnsi="Times New Roman" w:cs="Times New Roman"/>
                <w:sz w:val="24"/>
                <w:szCs w:val="24"/>
              </w:rPr>
              <w:t>enin 301 dhe 309 t</w:t>
            </w:r>
            <w:r w:rsidR="00B87EA1">
              <w:rPr>
                <w:rFonts w:ascii="Times New Roman" w:hAnsi="Times New Roman" w:cs="Times New Roman"/>
                <w:sz w:val="24"/>
                <w:szCs w:val="24"/>
              </w:rPr>
              <w:t>ë</w:t>
            </w:r>
            <w:r w:rsidRPr="000D3717">
              <w:rPr>
                <w:rFonts w:ascii="Times New Roman" w:hAnsi="Times New Roman" w:cs="Times New Roman"/>
                <w:sz w:val="24"/>
                <w:szCs w:val="24"/>
              </w:rPr>
              <w:t xml:space="preserve"> Kodit Penal, për t’i shmangë dyfishimet e kompetencave lidhur me shqiptimin e masave të sanksionit  dhe duke pasur parasysh se Kodi penal i Kosovës i rregullon disa </w:t>
            </w:r>
            <w:r w:rsidR="00772C2B">
              <w:rPr>
                <w:rFonts w:ascii="Times New Roman" w:hAnsi="Times New Roman" w:cs="Times New Roman"/>
                <w:sz w:val="24"/>
                <w:szCs w:val="24"/>
              </w:rPr>
              <w:t>ç</w:t>
            </w:r>
            <w:r w:rsidR="00772C2B" w:rsidRPr="000D3717">
              <w:rPr>
                <w:rFonts w:ascii="Times New Roman" w:hAnsi="Times New Roman" w:cs="Times New Roman"/>
                <w:sz w:val="24"/>
                <w:szCs w:val="24"/>
              </w:rPr>
              <w:t>ështje</w:t>
            </w:r>
            <w:r w:rsidRPr="000D3717">
              <w:rPr>
                <w:rFonts w:ascii="Times New Roman" w:hAnsi="Times New Roman" w:cs="Times New Roman"/>
                <w:sz w:val="24"/>
                <w:szCs w:val="24"/>
              </w:rPr>
              <w:t xml:space="preserve"> që përfshihen edhe në Plotësim Ndryshimin e Ligjit për Mbrojtjen e Konkurrencës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57a par.1. </w:t>
            </w:r>
          </w:p>
          <w:p w14:paraId="46889943" w14:textId="77777777" w:rsidR="000329FA" w:rsidRPr="000D3717" w:rsidRDefault="000329FA" w:rsidP="000329FA">
            <w:pPr>
              <w:rPr>
                <w:rFonts w:ascii="Times New Roman" w:hAnsi="Times New Roman" w:cs="Times New Roman"/>
                <w:sz w:val="24"/>
                <w:szCs w:val="24"/>
              </w:rPr>
            </w:pPr>
          </w:p>
          <w:p w14:paraId="016C7151" w14:textId="77777777" w:rsidR="000329FA" w:rsidRPr="000D3717" w:rsidRDefault="000329FA" w:rsidP="000329FA">
            <w:pPr>
              <w:jc w:val="both"/>
              <w:rPr>
                <w:rFonts w:ascii="Times New Roman" w:hAnsi="Times New Roman" w:cs="Times New Roman"/>
                <w:sz w:val="24"/>
                <w:szCs w:val="24"/>
              </w:rPr>
            </w:pPr>
            <w:r w:rsidRPr="000D3717">
              <w:rPr>
                <w:rFonts w:ascii="Times New Roman" w:hAnsi="Times New Roman" w:cs="Times New Roman"/>
                <w:sz w:val="24"/>
                <w:szCs w:val="24"/>
              </w:rPr>
              <w:t xml:space="preserve">Gjithashtu dispozita të caktuara të Ligjit për Mbrojtjen e Konkurrencës dhe plotësim ndryshimit të tij nuk janë të harmonizuara me Ligjin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r. 05/L-031 për Procedurën e Përgjithshme Administrative (LPPA). </w:t>
            </w:r>
          </w:p>
          <w:p w14:paraId="3843D8F6" w14:textId="77777777" w:rsidR="000329FA" w:rsidRPr="000D3717" w:rsidRDefault="000329FA" w:rsidP="000329FA">
            <w:pPr>
              <w:jc w:val="both"/>
              <w:rPr>
                <w:rFonts w:ascii="Times New Roman" w:hAnsi="Times New Roman" w:cs="Times New Roman"/>
                <w:sz w:val="24"/>
                <w:szCs w:val="24"/>
              </w:rPr>
            </w:pPr>
          </w:p>
          <w:p w14:paraId="1DE7397A" w14:textId="77777777" w:rsidR="000329FA" w:rsidRPr="000D3717" w:rsidRDefault="000329FA" w:rsidP="000329FA">
            <w:pPr>
              <w:jc w:val="both"/>
              <w:rPr>
                <w:rFonts w:ascii="Times New Roman" w:hAnsi="Times New Roman" w:cs="Times New Roman"/>
                <w:sz w:val="24"/>
                <w:szCs w:val="24"/>
              </w:rPr>
            </w:pPr>
            <w:r w:rsidRPr="000D3717">
              <w:rPr>
                <w:rFonts w:ascii="Times New Roman" w:hAnsi="Times New Roman" w:cs="Times New Roman"/>
                <w:sz w:val="24"/>
                <w:szCs w:val="24"/>
              </w:rPr>
              <w:t xml:space="preserve">Dispozitat e tilla nga Ligji për Mbrojtjen e Konkurrencës janë si në vijim: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8(2),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9(9),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13(4),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21(1),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33(2),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42(4),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44(4) (8) dhe (9),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46(6),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59(8),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60(4),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62(3) dhe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66. Ndërsa, nga plotësim ndryshimi i Ligjit për Mbrojtjen e Konkurrencës vetëm </w:t>
            </w:r>
            <w:r w:rsidR="00B87EA1">
              <w:rPr>
                <w:rFonts w:ascii="Times New Roman" w:hAnsi="Times New Roman" w:cs="Times New Roman"/>
                <w:sz w:val="24"/>
                <w:szCs w:val="24"/>
              </w:rPr>
              <w:t>n</w:t>
            </w:r>
            <w:r w:rsidRPr="000D3717">
              <w:rPr>
                <w:rFonts w:ascii="Times New Roman" w:hAnsi="Times New Roman" w:cs="Times New Roman"/>
                <w:sz w:val="24"/>
                <w:szCs w:val="24"/>
              </w:rPr>
              <w:t>eni 4 (</w:t>
            </w:r>
            <w:r w:rsidR="00B87EA1">
              <w:rPr>
                <w:rFonts w:ascii="Times New Roman" w:hAnsi="Times New Roman" w:cs="Times New Roman"/>
                <w:sz w:val="24"/>
                <w:szCs w:val="24"/>
              </w:rPr>
              <w:t>n</w:t>
            </w:r>
            <w:r w:rsidRPr="000D3717">
              <w:rPr>
                <w:rFonts w:ascii="Times New Roman" w:hAnsi="Times New Roman" w:cs="Times New Roman"/>
                <w:sz w:val="24"/>
                <w:szCs w:val="24"/>
              </w:rPr>
              <w:t>eni 7A.2) është vlerësuar si i pa harmonizuar me LPPA.</w:t>
            </w:r>
          </w:p>
          <w:p w14:paraId="4A94AFAC" w14:textId="77777777" w:rsidR="000329FA" w:rsidRPr="000D3717" w:rsidRDefault="000329FA" w:rsidP="000329FA">
            <w:pPr>
              <w:jc w:val="both"/>
              <w:rPr>
                <w:rFonts w:ascii="Times New Roman" w:hAnsi="Times New Roman" w:cs="Times New Roman"/>
                <w:sz w:val="24"/>
                <w:szCs w:val="24"/>
              </w:rPr>
            </w:pPr>
          </w:p>
          <w:p w14:paraId="452435B9" w14:textId="77777777" w:rsidR="000329FA" w:rsidRPr="000D3717" w:rsidRDefault="000329FA" w:rsidP="000329FA">
            <w:pPr>
              <w:jc w:val="both"/>
              <w:rPr>
                <w:rFonts w:ascii="Times New Roman" w:hAnsi="Times New Roman" w:cs="Times New Roman"/>
                <w:sz w:val="24"/>
                <w:szCs w:val="24"/>
              </w:rPr>
            </w:pPr>
            <w:r w:rsidRPr="000D3717">
              <w:rPr>
                <w:rFonts w:ascii="Times New Roman" w:hAnsi="Times New Roman" w:cs="Times New Roman"/>
                <w:sz w:val="24"/>
                <w:szCs w:val="24"/>
              </w:rPr>
              <w:t>Këto dispozita konsiderohen si të pa harmonizuara për arsyet si në vijim:</w:t>
            </w:r>
          </w:p>
          <w:p w14:paraId="192DC4B0" w14:textId="77777777" w:rsidR="000329FA" w:rsidRPr="000D3717" w:rsidRDefault="000329FA" w:rsidP="000329FA">
            <w:pPr>
              <w:jc w:val="both"/>
              <w:rPr>
                <w:rFonts w:ascii="Times New Roman" w:hAnsi="Times New Roman" w:cs="Times New Roman"/>
                <w:sz w:val="24"/>
                <w:szCs w:val="24"/>
              </w:rPr>
            </w:pPr>
          </w:p>
          <w:p w14:paraId="0BDF5C8C"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8(2) përcakton në tërësi kriteret dhe kushtet për përcaktimin e marrëveshjes me vlerë të vogël, me akt nënligjor, duke krijuar gjendje ku të drejtat apo interesat e palëve mund të cenohen. Si rrjedhojë ky nen është i pa harmonizuar me </w:t>
            </w:r>
            <w:r w:rsidR="00B87EA1">
              <w:rPr>
                <w:rFonts w:ascii="Times New Roman" w:hAnsi="Times New Roman" w:cs="Times New Roman"/>
                <w:sz w:val="24"/>
                <w:szCs w:val="24"/>
              </w:rPr>
              <w:t>n</w:t>
            </w:r>
            <w:r w:rsidRPr="000D3717">
              <w:rPr>
                <w:rFonts w:ascii="Times New Roman" w:hAnsi="Times New Roman" w:cs="Times New Roman"/>
                <w:sz w:val="24"/>
                <w:szCs w:val="24"/>
              </w:rPr>
              <w:t>enin 4 të LPPA – Parimin e ligjshmërisë.</w:t>
            </w:r>
          </w:p>
          <w:p w14:paraId="12EE1AB6" w14:textId="77777777" w:rsidR="000329FA" w:rsidRPr="000D3717" w:rsidRDefault="000329FA" w:rsidP="000329FA">
            <w:pPr>
              <w:pStyle w:val="ListParagraph"/>
              <w:jc w:val="both"/>
              <w:rPr>
                <w:rFonts w:ascii="Times New Roman" w:hAnsi="Times New Roman" w:cs="Times New Roman"/>
                <w:sz w:val="24"/>
                <w:szCs w:val="24"/>
              </w:rPr>
            </w:pPr>
          </w:p>
          <w:p w14:paraId="53838644"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lastRenderedPageBreak/>
              <w:t xml:space="preserve">Në </w:t>
            </w:r>
            <w:r w:rsidR="00B87EA1">
              <w:rPr>
                <w:rFonts w:ascii="Times New Roman" w:hAnsi="Times New Roman" w:cs="Times New Roman"/>
                <w:sz w:val="24"/>
                <w:szCs w:val="24"/>
              </w:rPr>
              <w:t>n</w:t>
            </w:r>
            <w:r w:rsidRPr="000D3717">
              <w:rPr>
                <w:rFonts w:ascii="Times New Roman" w:hAnsi="Times New Roman" w:cs="Times New Roman"/>
                <w:sz w:val="24"/>
                <w:szCs w:val="24"/>
              </w:rPr>
              <w:t>enin 9(9), mundësia e anulimit të përjashtimeve të lejuara, për arsye s</w:t>
            </w:r>
            <w:r w:rsidR="00B87EA1">
              <w:rPr>
                <w:rFonts w:ascii="Times New Roman" w:hAnsi="Times New Roman" w:cs="Times New Roman"/>
                <w:sz w:val="24"/>
                <w:szCs w:val="24"/>
              </w:rPr>
              <w:t>ë</w:t>
            </w:r>
            <w:r w:rsidRPr="000D3717">
              <w:rPr>
                <w:rFonts w:ascii="Times New Roman" w:hAnsi="Times New Roman" w:cs="Times New Roman"/>
                <w:sz w:val="24"/>
                <w:szCs w:val="24"/>
              </w:rPr>
              <w:t xml:space="preserve"> ato janë siguruar në bazë të informatave jo të plota ose të pasakta, nuk është në pajtim me dispozitat lidhur me anulimin dhe shfuqizimin e aktit administrativ të përcaktuara në LPPA (Nenet 54-57). Autoriteti i Konkurrencës  është i detyruar që në një procedurë administrative, sipas detyrës zyrtare, të shqyrtojë të gjitha faktet dhe të vlerësojë të gjitha rrethanat e nevojshme për zgjidhjen e çështjes administrative, siç përcaktohet me </w:t>
            </w:r>
            <w:r w:rsidR="00B87EA1">
              <w:rPr>
                <w:rFonts w:ascii="Times New Roman" w:hAnsi="Times New Roman" w:cs="Times New Roman"/>
                <w:sz w:val="24"/>
                <w:szCs w:val="24"/>
              </w:rPr>
              <w:t>n</w:t>
            </w:r>
            <w:r w:rsidRPr="000D3717">
              <w:rPr>
                <w:rFonts w:ascii="Times New Roman" w:hAnsi="Times New Roman" w:cs="Times New Roman"/>
                <w:sz w:val="24"/>
                <w:szCs w:val="24"/>
              </w:rPr>
              <w:t>enin 86(1) të LPPA. Në këtë drejtim, barra për të vërtetuar se informacioni është jo i plotë ose i pa saktë qëndron mbi Autoritetin, dhe akti i lejimit të përqendrimit nuk mund të anulohet mbi bazën se Autoriteti nuk ka arritur të zhvilloj shqyrtimin administrativ siç duhet.</w:t>
            </w:r>
          </w:p>
          <w:p w14:paraId="77C2C9D9" w14:textId="77777777" w:rsidR="000329FA" w:rsidRPr="000D3717" w:rsidRDefault="000329FA" w:rsidP="000329FA">
            <w:pPr>
              <w:pStyle w:val="ListParagraph"/>
              <w:rPr>
                <w:rFonts w:ascii="Times New Roman" w:hAnsi="Times New Roman" w:cs="Times New Roman"/>
                <w:sz w:val="24"/>
                <w:szCs w:val="24"/>
              </w:rPr>
            </w:pPr>
          </w:p>
          <w:p w14:paraId="06C6804C"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Neni 13(4) përcakton rregullimin në tërësi me akt nënligjor të mënyrës së paraqitjes së kërkesës dhe kritereve për konstatimin e përqendrimit, që nuk është në harmoni me Nenin 4 të LPPA.</w:t>
            </w:r>
          </w:p>
          <w:p w14:paraId="08349DD5" w14:textId="77777777" w:rsidR="000329FA" w:rsidRPr="000D3717" w:rsidRDefault="000329FA" w:rsidP="000329FA">
            <w:pPr>
              <w:pStyle w:val="ListParagraph"/>
              <w:rPr>
                <w:rFonts w:ascii="Times New Roman" w:hAnsi="Times New Roman" w:cs="Times New Roman"/>
                <w:sz w:val="24"/>
                <w:szCs w:val="24"/>
              </w:rPr>
            </w:pPr>
          </w:p>
          <w:p w14:paraId="6597AD06"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21(1), ngjashëm me të gjeturat në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9(9), pasaktësia e informatave, nuk mund të jetë bazë për shfuqizimin apo ndryshimin e vendimit për përqendrimin, ngase Autoriteti sipas </w:t>
            </w:r>
            <w:r w:rsidR="00B87EA1">
              <w:rPr>
                <w:rFonts w:ascii="Times New Roman" w:hAnsi="Times New Roman" w:cs="Times New Roman"/>
                <w:sz w:val="24"/>
                <w:szCs w:val="24"/>
              </w:rPr>
              <w:t>n</w:t>
            </w:r>
            <w:r w:rsidRPr="000D3717">
              <w:rPr>
                <w:rFonts w:ascii="Times New Roman" w:hAnsi="Times New Roman" w:cs="Times New Roman"/>
                <w:sz w:val="24"/>
                <w:szCs w:val="24"/>
              </w:rPr>
              <w:t>enit 86(1) ka për detyrë të shqyrtoj të gjitha faktet dhe të vlerësojë të gjitha rrethanat e nevojshme për zgjidhjen e çështjes administrative.</w:t>
            </w:r>
          </w:p>
          <w:p w14:paraId="06D5A550" w14:textId="77777777" w:rsidR="000329FA" w:rsidRPr="000D3717" w:rsidRDefault="000329FA" w:rsidP="000329FA">
            <w:pPr>
              <w:pStyle w:val="ListParagraph"/>
              <w:jc w:val="both"/>
              <w:rPr>
                <w:rFonts w:ascii="Times New Roman" w:hAnsi="Times New Roman" w:cs="Times New Roman"/>
                <w:sz w:val="24"/>
                <w:szCs w:val="24"/>
              </w:rPr>
            </w:pPr>
          </w:p>
          <w:p w14:paraId="4D339147"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33(2) përjashton </w:t>
            </w:r>
            <w:proofErr w:type="spellStart"/>
            <w:r w:rsidRPr="000D3717">
              <w:rPr>
                <w:rFonts w:ascii="Times New Roman" w:hAnsi="Times New Roman" w:cs="Times New Roman"/>
                <w:sz w:val="24"/>
                <w:szCs w:val="24"/>
              </w:rPr>
              <w:t>kategorisht</w:t>
            </w:r>
            <w:proofErr w:type="spellEnd"/>
            <w:r w:rsidRPr="000D3717">
              <w:rPr>
                <w:rFonts w:ascii="Times New Roman" w:hAnsi="Times New Roman" w:cs="Times New Roman"/>
                <w:sz w:val="24"/>
                <w:szCs w:val="24"/>
              </w:rPr>
              <w:t xml:space="preserve"> paraqitësin e iniciativës nga mundësia për të qenë palë në procedurë. </w:t>
            </w:r>
            <w:r w:rsidR="00B87EA1">
              <w:rPr>
                <w:rFonts w:ascii="Times New Roman" w:hAnsi="Times New Roman" w:cs="Times New Roman"/>
                <w:sz w:val="24"/>
                <w:szCs w:val="24"/>
              </w:rPr>
              <w:t>n</w:t>
            </w:r>
            <w:r w:rsidRPr="000D3717">
              <w:rPr>
                <w:rFonts w:ascii="Times New Roman" w:hAnsi="Times New Roman" w:cs="Times New Roman"/>
                <w:sz w:val="24"/>
                <w:szCs w:val="24"/>
              </w:rPr>
              <w:t>eni 14(2) i LPPA përcakton se palë konsiderohen gjithashtu personat të cilëve rezultati i procedurës mund t’i cenoj të drejtat apo interesat. Në praktikë mund të ketë raste kur të drejtat apo interesat e paraqitësit të iniciativës mund të lidhen me procedurën konkrete.</w:t>
            </w:r>
          </w:p>
          <w:p w14:paraId="4E5938DE" w14:textId="77777777" w:rsidR="000329FA" w:rsidRPr="000D3717" w:rsidRDefault="000329FA" w:rsidP="000329FA">
            <w:pPr>
              <w:pStyle w:val="ListParagraph"/>
              <w:jc w:val="both"/>
              <w:rPr>
                <w:rFonts w:ascii="Times New Roman" w:hAnsi="Times New Roman" w:cs="Times New Roman"/>
                <w:sz w:val="24"/>
                <w:szCs w:val="24"/>
              </w:rPr>
            </w:pPr>
          </w:p>
          <w:p w14:paraId="4FE781F3"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Neni 42(4) i referohet aplikimit të dispozitave të LPPA, sa i përket kontrollit të paparalajmëruar, por LPPA nuk parasheh fare dispozita për rregullimin e kësaj çështje.</w:t>
            </w:r>
          </w:p>
          <w:p w14:paraId="7F71374B" w14:textId="77777777" w:rsidR="000329FA" w:rsidRPr="000D3717" w:rsidRDefault="000329FA" w:rsidP="000329FA">
            <w:pPr>
              <w:pStyle w:val="ListParagraph"/>
              <w:rPr>
                <w:rFonts w:ascii="Times New Roman" w:hAnsi="Times New Roman" w:cs="Times New Roman"/>
                <w:sz w:val="24"/>
                <w:szCs w:val="24"/>
              </w:rPr>
            </w:pPr>
          </w:p>
          <w:p w14:paraId="3563274A"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44(4) përcakton afat 15 ditor për qasje në dosje, që është më i gjatë se afati i paraparë në LPPA (Neni 92) – 5 ditor. Gjithashtu, Neni 44(8) i kufizon qasjen në dosje palëve të treta në procedurë, që nuk është në pajtim me LPPA, gjegjësisht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enet 9 dhe 92. Për më shumë,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 </w:t>
            </w:r>
            <w:r w:rsidRPr="000D3717">
              <w:rPr>
                <w:rFonts w:ascii="Times New Roman" w:hAnsi="Times New Roman" w:cs="Times New Roman"/>
                <w:sz w:val="24"/>
                <w:szCs w:val="24"/>
              </w:rPr>
              <w:lastRenderedPageBreak/>
              <w:t>44(9) i mohon të drejtën e mjetit juridik palës së cilës i është refuzuar kërkesa për qasje në dosje, ndërsa LPPA (</w:t>
            </w:r>
            <w:r w:rsidR="00B87EA1">
              <w:rPr>
                <w:rFonts w:ascii="Times New Roman" w:hAnsi="Times New Roman" w:cs="Times New Roman"/>
                <w:sz w:val="24"/>
                <w:szCs w:val="24"/>
              </w:rPr>
              <w:t>n</w:t>
            </w:r>
            <w:r w:rsidRPr="000D3717">
              <w:rPr>
                <w:rFonts w:ascii="Times New Roman" w:hAnsi="Times New Roman" w:cs="Times New Roman"/>
                <w:sz w:val="24"/>
                <w:szCs w:val="24"/>
              </w:rPr>
              <w:t>eni 125) përcakton se ky mjet juridik mund të ndalohet vetëm si mjet i veçantë, i ndarë nga ankesa kryesore, por jo të ndalohet në tërësi (i njëjti mund të ushtrohet në përfundim të procedurës administrative).</w:t>
            </w:r>
          </w:p>
          <w:p w14:paraId="37E72337" w14:textId="77777777" w:rsidR="000329FA" w:rsidRPr="000D3717" w:rsidRDefault="000329FA" w:rsidP="000329FA">
            <w:pPr>
              <w:pStyle w:val="ListParagraph"/>
              <w:rPr>
                <w:rFonts w:ascii="Times New Roman" w:hAnsi="Times New Roman" w:cs="Times New Roman"/>
                <w:sz w:val="24"/>
                <w:szCs w:val="24"/>
              </w:rPr>
            </w:pPr>
          </w:p>
          <w:p w14:paraId="393ECCF2"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46(6), ngjashëm me të gjeturat në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9(9) dhe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21(1), pasaktësia e informatave, nuk mund të jetë bazë për anulimin apo shfuqizimin e vendimit paraprak, ngase Autoriteti sipas </w:t>
            </w:r>
            <w:r w:rsidR="00B87EA1">
              <w:rPr>
                <w:rFonts w:ascii="Times New Roman" w:hAnsi="Times New Roman" w:cs="Times New Roman"/>
                <w:sz w:val="24"/>
                <w:szCs w:val="24"/>
              </w:rPr>
              <w:t>n</w:t>
            </w:r>
            <w:r w:rsidRPr="000D3717">
              <w:rPr>
                <w:rFonts w:ascii="Times New Roman" w:hAnsi="Times New Roman" w:cs="Times New Roman"/>
                <w:sz w:val="24"/>
                <w:szCs w:val="24"/>
              </w:rPr>
              <w:t>enit 86(1) të LPPA ka për detyrë të shqyrtoj të gjitha faktet  dhe të vlerësojë të gjitha rrethanat e nevojshme për zgjidhjen e çështjes administrative.</w:t>
            </w:r>
          </w:p>
          <w:p w14:paraId="39494332" w14:textId="77777777" w:rsidR="000329FA" w:rsidRPr="000D3717" w:rsidRDefault="000329FA" w:rsidP="000329FA">
            <w:pPr>
              <w:pStyle w:val="ListParagraph"/>
              <w:rPr>
                <w:rFonts w:ascii="Times New Roman" w:hAnsi="Times New Roman" w:cs="Times New Roman"/>
                <w:sz w:val="24"/>
                <w:szCs w:val="24"/>
              </w:rPr>
            </w:pPr>
          </w:p>
          <w:p w14:paraId="4AA3A27D"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59(8) parasheh masë ndëshkuese për ndërmarrjet edhe në rastet kur nuk ka pasur efekte negative në treg. Kjo konsiderohet procedurë jo proporcionale sipas </w:t>
            </w:r>
            <w:r w:rsidR="00B87EA1">
              <w:rPr>
                <w:rFonts w:ascii="Times New Roman" w:hAnsi="Times New Roman" w:cs="Times New Roman"/>
                <w:sz w:val="24"/>
                <w:szCs w:val="24"/>
              </w:rPr>
              <w:t>n</w:t>
            </w:r>
            <w:r w:rsidRPr="000D3717">
              <w:rPr>
                <w:rFonts w:ascii="Times New Roman" w:hAnsi="Times New Roman" w:cs="Times New Roman"/>
                <w:sz w:val="24"/>
                <w:szCs w:val="24"/>
              </w:rPr>
              <w:t>enit 5 të LPPA.</w:t>
            </w:r>
          </w:p>
          <w:p w14:paraId="029D80A3" w14:textId="77777777" w:rsidR="000329FA" w:rsidRPr="000D3717" w:rsidRDefault="000329FA" w:rsidP="000329FA">
            <w:pPr>
              <w:pStyle w:val="ListParagraph"/>
              <w:rPr>
                <w:rFonts w:ascii="Times New Roman" w:hAnsi="Times New Roman" w:cs="Times New Roman"/>
                <w:sz w:val="24"/>
                <w:szCs w:val="24"/>
              </w:rPr>
            </w:pPr>
          </w:p>
          <w:p w14:paraId="6F5C9DEA"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60(4) përcakton se kriteret për lirimin nga masat ndëshkuese, gjegjësisht zvogëlimin e ndëshkimeve, rregullohen në tërësi me akt nënligjor, që konsiderohet jo në harmoni me </w:t>
            </w:r>
            <w:r w:rsidR="00B87EA1">
              <w:rPr>
                <w:rFonts w:ascii="Times New Roman" w:hAnsi="Times New Roman" w:cs="Times New Roman"/>
                <w:sz w:val="24"/>
                <w:szCs w:val="24"/>
              </w:rPr>
              <w:t>n</w:t>
            </w:r>
            <w:r w:rsidRPr="000D3717">
              <w:rPr>
                <w:rFonts w:ascii="Times New Roman" w:hAnsi="Times New Roman" w:cs="Times New Roman"/>
                <w:sz w:val="24"/>
                <w:szCs w:val="24"/>
              </w:rPr>
              <w:t>enin 4 të LPPA.</w:t>
            </w:r>
          </w:p>
          <w:p w14:paraId="4F231CC2" w14:textId="77777777" w:rsidR="000329FA" w:rsidRPr="000D3717" w:rsidRDefault="000329FA" w:rsidP="000329FA">
            <w:pPr>
              <w:pStyle w:val="ListParagraph"/>
              <w:rPr>
                <w:rFonts w:ascii="Times New Roman" w:hAnsi="Times New Roman" w:cs="Times New Roman"/>
                <w:sz w:val="24"/>
                <w:szCs w:val="24"/>
              </w:rPr>
            </w:pPr>
          </w:p>
          <w:p w14:paraId="11132DE6" w14:textId="77777777" w:rsidR="000329FA" w:rsidRPr="000D3717" w:rsidRDefault="000329FA" w:rsidP="000329FA">
            <w:pPr>
              <w:pStyle w:val="ListParagraph"/>
              <w:rPr>
                <w:rFonts w:ascii="Times New Roman" w:hAnsi="Times New Roman" w:cs="Times New Roman"/>
                <w:sz w:val="24"/>
                <w:szCs w:val="24"/>
              </w:rPr>
            </w:pPr>
          </w:p>
          <w:p w14:paraId="27D487DB"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66 përcakton zbatim direkt të Direktivave të Bashkimit Evropian. Kjo cenon të drejtat dhe interesat juridike të palëve, ngase Direktivat për tu zbatuar duhet të </w:t>
            </w:r>
            <w:proofErr w:type="spellStart"/>
            <w:r w:rsidRPr="000D3717">
              <w:rPr>
                <w:rFonts w:ascii="Times New Roman" w:hAnsi="Times New Roman" w:cs="Times New Roman"/>
                <w:sz w:val="24"/>
                <w:szCs w:val="24"/>
              </w:rPr>
              <w:t>transpozohen</w:t>
            </w:r>
            <w:proofErr w:type="spellEnd"/>
            <w:r w:rsidRPr="000D3717">
              <w:rPr>
                <w:rFonts w:ascii="Times New Roman" w:hAnsi="Times New Roman" w:cs="Times New Roman"/>
                <w:sz w:val="24"/>
                <w:szCs w:val="24"/>
              </w:rPr>
              <w:t xml:space="preserve"> në ligjet e Kosovës.</w:t>
            </w:r>
          </w:p>
          <w:p w14:paraId="1F6C91FC" w14:textId="77777777" w:rsidR="000329FA" w:rsidRPr="000D3717" w:rsidRDefault="000329FA" w:rsidP="000329FA">
            <w:pPr>
              <w:pStyle w:val="ListParagraph"/>
              <w:rPr>
                <w:rFonts w:ascii="Times New Roman" w:hAnsi="Times New Roman" w:cs="Times New Roman"/>
                <w:sz w:val="24"/>
                <w:szCs w:val="24"/>
              </w:rPr>
            </w:pPr>
          </w:p>
          <w:p w14:paraId="23293795" w14:textId="77777777" w:rsidR="000329FA" w:rsidRPr="000D3717" w:rsidRDefault="000329FA" w:rsidP="000329FA">
            <w:pPr>
              <w:pStyle w:val="ListParagraph"/>
              <w:numPr>
                <w:ilvl w:val="0"/>
                <w:numId w:val="2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7A(2) i plotësim ndryshimit të Ligjit për Mbrojtjen e Konkurrencës përcakton rregullimin në tërësi të kushteve të përjashtimeve grupore me akt nënligjor, që nuk është në harmoni me </w:t>
            </w:r>
            <w:r w:rsidR="00B87EA1">
              <w:rPr>
                <w:rFonts w:ascii="Times New Roman" w:hAnsi="Times New Roman" w:cs="Times New Roman"/>
                <w:sz w:val="24"/>
                <w:szCs w:val="24"/>
              </w:rPr>
              <w:t>n</w:t>
            </w:r>
            <w:r w:rsidRPr="000D3717">
              <w:rPr>
                <w:rFonts w:ascii="Times New Roman" w:hAnsi="Times New Roman" w:cs="Times New Roman"/>
                <w:sz w:val="24"/>
                <w:szCs w:val="24"/>
              </w:rPr>
              <w:t>enin 4 të LPPA.</w:t>
            </w:r>
          </w:p>
          <w:p w14:paraId="7F460A18" w14:textId="77777777" w:rsidR="000329FA" w:rsidRPr="000D3717" w:rsidRDefault="000329FA" w:rsidP="000329FA">
            <w:pPr>
              <w:jc w:val="both"/>
              <w:rPr>
                <w:rFonts w:ascii="Times New Roman" w:hAnsi="Times New Roman" w:cs="Times New Roman"/>
                <w:sz w:val="24"/>
                <w:szCs w:val="24"/>
              </w:rPr>
            </w:pPr>
          </w:p>
          <w:p w14:paraId="3CFE390C" w14:textId="5962416D" w:rsidR="001C3D88" w:rsidRPr="000D3717" w:rsidRDefault="000329FA" w:rsidP="00A83C55">
            <w:pPr>
              <w:rPr>
                <w:rFonts w:ascii="Times New Roman" w:hAnsi="Times New Roman" w:cs="Times New Roman"/>
                <w:sz w:val="24"/>
                <w:szCs w:val="24"/>
              </w:rPr>
            </w:pPr>
            <w:r w:rsidRPr="000D3717">
              <w:rPr>
                <w:rFonts w:ascii="Times New Roman" w:hAnsi="Times New Roman" w:cs="Times New Roman"/>
                <w:sz w:val="24"/>
                <w:szCs w:val="24"/>
              </w:rPr>
              <w:t xml:space="preserve">Autoriteti të vlerëson se a janë afatet e parapara me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20(8),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33(4),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35(5),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43(1) dhe </w:t>
            </w:r>
            <w:r w:rsidR="00B87EA1">
              <w:rPr>
                <w:rFonts w:ascii="Times New Roman" w:hAnsi="Times New Roman" w:cs="Times New Roman"/>
                <w:sz w:val="24"/>
                <w:szCs w:val="24"/>
              </w:rPr>
              <w:t>n</w:t>
            </w:r>
            <w:r w:rsidRPr="000D3717">
              <w:rPr>
                <w:rFonts w:ascii="Times New Roman" w:hAnsi="Times New Roman" w:cs="Times New Roman"/>
                <w:sz w:val="24"/>
                <w:szCs w:val="24"/>
              </w:rPr>
              <w:t xml:space="preserve">enin 43(4) të Ligjit për Mbrojtjen e Konkurrencës, dhe </w:t>
            </w:r>
            <w:r w:rsidR="00B87EA1">
              <w:rPr>
                <w:rFonts w:ascii="Times New Roman" w:hAnsi="Times New Roman" w:cs="Times New Roman"/>
                <w:sz w:val="24"/>
                <w:szCs w:val="24"/>
              </w:rPr>
              <w:t>n</w:t>
            </w:r>
            <w:r w:rsidRPr="000D3717">
              <w:rPr>
                <w:rFonts w:ascii="Times New Roman" w:hAnsi="Times New Roman" w:cs="Times New Roman"/>
                <w:sz w:val="24"/>
                <w:szCs w:val="24"/>
              </w:rPr>
              <w:t>eni 10 i plotësim ndryshimit të Ligjit në pajtim me parimin e efikasitetit të LPPA – Neni 10(2) “2. Organi publik zhvillon procedurën administrative sa m</w:t>
            </w:r>
            <w:r w:rsidR="000C3740">
              <w:rPr>
                <w:rFonts w:ascii="Times New Roman" w:hAnsi="Times New Roman" w:cs="Times New Roman"/>
                <w:sz w:val="24"/>
                <w:szCs w:val="24"/>
              </w:rPr>
              <w:t>ë</w:t>
            </w:r>
            <w:r w:rsidRPr="000D3717">
              <w:rPr>
                <w:rFonts w:ascii="Times New Roman" w:hAnsi="Times New Roman" w:cs="Times New Roman"/>
                <w:sz w:val="24"/>
                <w:szCs w:val="24"/>
              </w:rPr>
              <w:t xml:space="preserve"> të shpejtë dhe me sa më pak shpenzime, për të dhe për palën, duke mos cenuar çfarë është e nevojshme për një rezultat të ligjshëm e të përshtatshëm të procedurës administrative.”</w:t>
            </w:r>
          </w:p>
        </w:tc>
      </w:tr>
      <w:tr w:rsidR="00835D2A" w:rsidRPr="000D3717" w14:paraId="250C287F" w14:textId="77777777" w:rsidTr="00835D2A">
        <w:tc>
          <w:tcPr>
            <w:tcW w:w="3192" w:type="dxa"/>
          </w:tcPr>
          <w:p w14:paraId="382A74A5"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lastRenderedPageBreak/>
              <w:t>REKOMANDIMI</w:t>
            </w:r>
          </w:p>
        </w:tc>
        <w:tc>
          <w:tcPr>
            <w:tcW w:w="6384" w:type="dxa"/>
          </w:tcPr>
          <w:p w14:paraId="4FC9C112" w14:textId="77777777" w:rsidR="000329FA" w:rsidRPr="000D3717" w:rsidRDefault="000329FA" w:rsidP="000329FA">
            <w:pPr>
              <w:jc w:val="both"/>
              <w:rPr>
                <w:rFonts w:ascii="Times New Roman" w:hAnsi="Times New Roman" w:cs="Times New Roman"/>
                <w:sz w:val="24"/>
                <w:szCs w:val="24"/>
              </w:rPr>
            </w:pPr>
            <w:r w:rsidRPr="000D3717">
              <w:rPr>
                <w:rFonts w:ascii="Times New Roman" w:hAnsi="Times New Roman" w:cs="Times New Roman"/>
                <w:sz w:val="24"/>
                <w:szCs w:val="24"/>
              </w:rPr>
              <w:t xml:space="preserve">Neni 57a par. 1 i Plotësim Ndryshimin e Ligjit për Mbrojtjen e </w:t>
            </w:r>
            <w:r w:rsidRPr="000D3717">
              <w:rPr>
                <w:rFonts w:ascii="Times New Roman" w:hAnsi="Times New Roman" w:cs="Times New Roman"/>
                <w:sz w:val="24"/>
                <w:szCs w:val="24"/>
              </w:rPr>
              <w:lastRenderedPageBreak/>
              <w:t>Konkurrencës do të duhej fshihet për arsye se është dyfishim i dënimit duke pasur parasysh se dënimet e tilla janë të parapara me Kodin Penal të Republikës së Kosovës  neni 301.</w:t>
            </w:r>
          </w:p>
          <w:p w14:paraId="0A00B54C" w14:textId="77777777" w:rsidR="000329FA" w:rsidRPr="000D3717" w:rsidRDefault="000329FA" w:rsidP="000329FA">
            <w:pPr>
              <w:jc w:val="both"/>
              <w:rPr>
                <w:rFonts w:ascii="Times New Roman" w:hAnsi="Times New Roman" w:cs="Times New Roman"/>
                <w:sz w:val="24"/>
                <w:szCs w:val="24"/>
              </w:rPr>
            </w:pPr>
          </w:p>
          <w:p w14:paraId="5837CB59" w14:textId="77777777" w:rsidR="000329FA" w:rsidRPr="000D3717" w:rsidRDefault="000329FA" w:rsidP="000329FA">
            <w:pPr>
              <w:jc w:val="both"/>
              <w:rPr>
                <w:rFonts w:ascii="Times New Roman" w:hAnsi="Times New Roman" w:cs="Times New Roman"/>
                <w:sz w:val="24"/>
                <w:szCs w:val="24"/>
              </w:rPr>
            </w:pPr>
            <w:r w:rsidRPr="000D3717">
              <w:rPr>
                <w:rFonts w:ascii="Times New Roman" w:hAnsi="Times New Roman" w:cs="Times New Roman"/>
                <w:sz w:val="24"/>
                <w:szCs w:val="24"/>
              </w:rPr>
              <w:t>Për të siguruar harmonizimin me LPPA, parashihet të bëhen ndryshimet si në vijim:</w:t>
            </w:r>
          </w:p>
          <w:p w14:paraId="6F80EBA6" w14:textId="77777777" w:rsidR="000329FA" w:rsidRPr="000D3717" w:rsidRDefault="000329FA" w:rsidP="000329FA">
            <w:pPr>
              <w:jc w:val="both"/>
              <w:rPr>
                <w:rFonts w:ascii="Times New Roman" w:hAnsi="Times New Roman" w:cs="Times New Roman"/>
                <w:sz w:val="24"/>
                <w:szCs w:val="24"/>
              </w:rPr>
            </w:pPr>
          </w:p>
          <w:p w14:paraId="3FDD22BC" w14:textId="322D6019"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8 do të parasheh kriteret dhe kushtet për përcaktimin e marrëveshjeve me vlerë të vogël në aspekt të përgjithshëm. Të njëjtat mund të </w:t>
            </w:r>
            <w:r w:rsidR="00772C2B"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w:t>
            </w:r>
          </w:p>
          <w:p w14:paraId="218A61A3" w14:textId="77777777" w:rsidR="000329FA" w:rsidRPr="000D3717" w:rsidRDefault="000329FA" w:rsidP="000329FA">
            <w:pPr>
              <w:pStyle w:val="ListParagraph"/>
              <w:jc w:val="both"/>
              <w:rPr>
                <w:rFonts w:ascii="Times New Roman" w:hAnsi="Times New Roman" w:cs="Times New Roman"/>
                <w:sz w:val="24"/>
                <w:szCs w:val="24"/>
              </w:rPr>
            </w:pPr>
          </w:p>
          <w:p w14:paraId="54D06DCD"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enin 9(9) fjalët “informatat jo të plota ose të pasakta”, si bazë për anulimin, ndryshimin, ose caktimin e kushteve lidhur me përqendrimin e lejuar, do të fshihen.</w:t>
            </w:r>
          </w:p>
          <w:p w14:paraId="5B11252B" w14:textId="77777777" w:rsidR="000329FA" w:rsidRPr="000D3717" w:rsidRDefault="000329FA" w:rsidP="000329FA">
            <w:pPr>
              <w:pStyle w:val="ListParagraph"/>
              <w:rPr>
                <w:rFonts w:ascii="Times New Roman" w:hAnsi="Times New Roman" w:cs="Times New Roman"/>
                <w:sz w:val="24"/>
                <w:szCs w:val="24"/>
              </w:rPr>
            </w:pPr>
          </w:p>
          <w:p w14:paraId="3BCBB857" w14:textId="11CC73D4"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 xml:space="preserve">enin 13(4) mënyra dhe përmbajtja e përgjithshme e kërkesës, si dhe kriteret e përgjithshme për konstatimin e përqendrimit do të përcaktohen me ligj. Këto pastaj mund të </w:t>
            </w:r>
            <w:r w:rsidR="00EB370A"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 që duhet të jetë në pajtim me standardet ligjore të përgjithshme të cekura si më lartë.</w:t>
            </w:r>
          </w:p>
          <w:p w14:paraId="116BB3A8" w14:textId="77777777" w:rsidR="000329FA" w:rsidRPr="000D3717" w:rsidRDefault="000329FA" w:rsidP="000329FA">
            <w:pPr>
              <w:pStyle w:val="ListParagraph"/>
              <w:rPr>
                <w:rFonts w:ascii="Times New Roman" w:hAnsi="Times New Roman" w:cs="Times New Roman"/>
                <w:sz w:val="24"/>
                <w:szCs w:val="24"/>
              </w:rPr>
            </w:pPr>
          </w:p>
          <w:p w14:paraId="6BD7E389"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enin 21(1) fjalët “pasaktësia e informatave” si bazë për shfuqizimin apo ndryshimin e vendimit për përqendrim, do të fshihen nga Ligji.</w:t>
            </w:r>
          </w:p>
          <w:p w14:paraId="5440DEC0" w14:textId="77777777" w:rsidR="000329FA" w:rsidRPr="000D3717" w:rsidRDefault="000329FA" w:rsidP="000329FA">
            <w:pPr>
              <w:pStyle w:val="ListParagraph"/>
              <w:rPr>
                <w:rFonts w:ascii="Times New Roman" w:hAnsi="Times New Roman" w:cs="Times New Roman"/>
                <w:sz w:val="24"/>
                <w:szCs w:val="24"/>
              </w:rPr>
            </w:pPr>
          </w:p>
          <w:p w14:paraId="57AE5FD0"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enin 33(2), në fund të tij, do të shtohen fjalët “përveç nëse rezultati i procedurës mund t’i cenoj të drejtat apo interesat e tij/saj.”</w:t>
            </w:r>
          </w:p>
          <w:p w14:paraId="579E9643" w14:textId="77777777" w:rsidR="000329FA" w:rsidRPr="000D3717" w:rsidRDefault="000329FA" w:rsidP="000329FA">
            <w:pPr>
              <w:pStyle w:val="ListParagraph"/>
              <w:rPr>
                <w:rFonts w:ascii="Times New Roman" w:hAnsi="Times New Roman" w:cs="Times New Roman"/>
                <w:sz w:val="24"/>
                <w:szCs w:val="24"/>
              </w:rPr>
            </w:pPr>
          </w:p>
          <w:p w14:paraId="79F77129"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Neni 42(4) do të fshihet.</w:t>
            </w:r>
          </w:p>
          <w:p w14:paraId="24BD3685" w14:textId="77777777" w:rsidR="000329FA" w:rsidRPr="000D3717" w:rsidRDefault="000329FA" w:rsidP="000329FA">
            <w:pPr>
              <w:pStyle w:val="ListParagraph"/>
              <w:rPr>
                <w:rFonts w:ascii="Times New Roman" w:hAnsi="Times New Roman" w:cs="Times New Roman"/>
                <w:sz w:val="24"/>
                <w:szCs w:val="24"/>
              </w:rPr>
            </w:pPr>
          </w:p>
          <w:p w14:paraId="09E15347"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 xml:space="preserve">enin 44(4) afati për autoritetin për të garantuar qasjen në dosje do të shkurtohet nga 15 në 5 ditë. Neni 44(8) do të fshihet. Neni 44(9) do të ndryshohet duke përcaktuar se “nuk lejohet ankesë ë veçantë, por konkluzioni i tillë mund të </w:t>
            </w:r>
            <w:proofErr w:type="spellStart"/>
            <w:r w:rsidRPr="000D3717">
              <w:rPr>
                <w:rFonts w:ascii="Times New Roman" w:hAnsi="Times New Roman" w:cs="Times New Roman"/>
                <w:sz w:val="24"/>
                <w:szCs w:val="24"/>
              </w:rPr>
              <w:t>ankimohet</w:t>
            </w:r>
            <w:proofErr w:type="spellEnd"/>
            <w:r w:rsidRPr="000D3717">
              <w:rPr>
                <w:rFonts w:ascii="Times New Roman" w:hAnsi="Times New Roman" w:cs="Times New Roman"/>
                <w:sz w:val="24"/>
                <w:szCs w:val="24"/>
              </w:rPr>
              <w:t xml:space="preserve"> së bashku me padinë për inicimin e konfliktit administrativ për vendimin kryesor të çështjes së caktuar”.</w:t>
            </w:r>
          </w:p>
          <w:p w14:paraId="24447ECC" w14:textId="77777777" w:rsidR="000329FA" w:rsidRPr="000D3717" w:rsidRDefault="000329FA" w:rsidP="000329FA">
            <w:pPr>
              <w:pStyle w:val="ListParagraph"/>
              <w:rPr>
                <w:rFonts w:ascii="Times New Roman" w:hAnsi="Times New Roman" w:cs="Times New Roman"/>
                <w:sz w:val="24"/>
                <w:szCs w:val="24"/>
              </w:rPr>
            </w:pPr>
          </w:p>
          <w:p w14:paraId="72C10DD5"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6246AD">
              <w:rPr>
                <w:rFonts w:ascii="Times New Roman" w:hAnsi="Times New Roman" w:cs="Times New Roman"/>
                <w:sz w:val="24"/>
                <w:szCs w:val="24"/>
              </w:rPr>
              <w:t>n</w:t>
            </w:r>
            <w:r w:rsidRPr="000D3717">
              <w:rPr>
                <w:rFonts w:ascii="Times New Roman" w:hAnsi="Times New Roman" w:cs="Times New Roman"/>
                <w:sz w:val="24"/>
                <w:szCs w:val="24"/>
              </w:rPr>
              <w:t>enin 46(6) fjalët “pasaktësia e informatave” si bazë për ri-inicimin e procedurës do të fshihen.</w:t>
            </w:r>
          </w:p>
          <w:p w14:paraId="733C8748" w14:textId="77777777" w:rsidR="000329FA" w:rsidRPr="000D3717" w:rsidRDefault="000329FA" w:rsidP="000329FA">
            <w:pPr>
              <w:pStyle w:val="ListParagraph"/>
              <w:rPr>
                <w:rFonts w:ascii="Times New Roman" w:hAnsi="Times New Roman" w:cs="Times New Roman"/>
                <w:sz w:val="24"/>
                <w:szCs w:val="24"/>
              </w:rPr>
            </w:pPr>
          </w:p>
          <w:p w14:paraId="741ECC5D"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Neni 59(8) do të fshihet.</w:t>
            </w:r>
          </w:p>
          <w:p w14:paraId="5C930BB0" w14:textId="77777777" w:rsidR="000329FA" w:rsidRPr="000D3717" w:rsidRDefault="000329FA" w:rsidP="000329FA">
            <w:pPr>
              <w:pStyle w:val="ListParagraph"/>
              <w:rPr>
                <w:rFonts w:ascii="Times New Roman" w:hAnsi="Times New Roman" w:cs="Times New Roman"/>
                <w:sz w:val="24"/>
                <w:szCs w:val="24"/>
              </w:rPr>
            </w:pPr>
          </w:p>
          <w:p w14:paraId="10343B2D" w14:textId="6B845033"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60(4) do të parasheh në aspekt të përgjithshëm kriteret për lirimin nga ndëshkimi dhe masat për zvogëlimin e ndëshkimeve. Këto mund të </w:t>
            </w:r>
            <w:r w:rsidR="00EB370A"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pastaj me akt nënligjor.</w:t>
            </w:r>
          </w:p>
          <w:p w14:paraId="3ECEF7D4" w14:textId="77777777" w:rsidR="000329FA" w:rsidRPr="000D3717" w:rsidRDefault="000329FA" w:rsidP="000329FA">
            <w:pPr>
              <w:pStyle w:val="ListParagraph"/>
              <w:rPr>
                <w:rFonts w:ascii="Times New Roman" w:hAnsi="Times New Roman" w:cs="Times New Roman"/>
                <w:sz w:val="24"/>
                <w:szCs w:val="24"/>
              </w:rPr>
            </w:pPr>
          </w:p>
          <w:p w14:paraId="250648A0" w14:textId="77777777" w:rsidR="000329FA" w:rsidRPr="000D3717" w:rsidRDefault="000329FA" w:rsidP="000329FA">
            <w:pPr>
              <w:pStyle w:val="ListParagraph"/>
              <w:rPr>
                <w:rFonts w:ascii="Times New Roman" w:hAnsi="Times New Roman" w:cs="Times New Roman"/>
                <w:sz w:val="24"/>
                <w:szCs w:val="24"/>
              </w:rPr>
            </w:pPr>
          </w:p>
          <w:p w14:paraId="7D1CD5F9" w14:textId="77777777" w:rsidR="000329FA" w:rsidRPr="000D3717" w:rsidRDefault="000329FA" w:rsidP="000329FA">
            <w:pPr>
              <w:pStyle w:val="ListParagraph"/>
              <w:numPr>
                <w:ilvl w:val="0"/>
                <w:numId w:val="26"/>
              </w:numPr>
              <w:jc w:val="both"/>
              <w:rPr>
                <w:rFonts w:ascii="Times New Roman" w:hAnsi="Times New Roman" w:cs="Times New Roman"/>
                <w:sz w:val="24"/>
                <w:szCs w:val="24"/>
              </w:rPr>
            </w:pPr>
            <w:r w:rsidRPr="000D3717">
              <w:rPr>
                <w:rFonts w:ascii="Times New Roman" w:hAnsi="Times New Roman" w:cs="Times New Roman"/>
                <w:sz w:val="24"/>
                <w:szCs w:val="24"/>
              </w:rPr>
              <w:t>Neni 66 do të fshihet.</w:t>
            </w:r>
          </w:p>
          <w:p w14:paraId="5649A5F8" w14:textId="77777777" w:rsidR="000329FA" w:rsidRPr="000D3717" w:rsidRDefault="000329FA" w:rsidP="000329FA">
            <w:pPr>
              <w:pStyle w:val="ListParagraph"/>
              <w:rPr>
                <w:rFonts w:ascii="Times New Roman" w:hAnsi="Times New Roman" w:cs="Times New Roman"/>
                <w:sz w:val="24"/>
                <w:szCs w:val="24"/>
              </w:rPr>
            </w:pPr>
          </w:p>
          <w:p w14:paraId="62710650" w14:textId="4E05999B" w:rsidR="001C3D88" w:rsidRPr="000D3717" w:rsidRDefault="000329FA" w:rsidP="001C3D88">
            <w:pPr>
              <w:jc w:val="both"/>
              <w:rPr>
                <w:rFonts w:ascii="Times New Roman" w:hAnsi="Times New Roman" w:cs="Times New Roman"/>
                <w:sz w:val="24"/>
                <w:szCs w:val="24"/>
              </w:rPr>
            </w:pPr>
            <w:r w:rsidRPr="000D3717">
              <w:rPr>
                <w:rFonts w:ascii="Times New Roman" w:hAnsi="Times New Roman" w:cs="Times New Roman"/>
                <w:sz w:val="24"/>
                <w:szCs w:val="24"/>
              </w:rPr>
              <w:t xml:space="preserve">Neni 7A(2) do të parasheh kushtet e përgjithshme për përcaktimin e përjashtimeve grupore. Këto mund të </w:t>
            </w:r>
            <w:r w:rsidR="00EB370A"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w:t>
            </w:r>
          </w:p>
        </w:tc>
      </w:tr>
    </w:tbl>
    <w:p w14:paraId="5E7A4629" w14:textId="77777777" w:rsidR="00FF2F16" w:rsidRPr="000D3717" w:rsidRDefault="00FF2F16"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835D2A" w:rsidRPr="000D3717" w14:paraId="2E928B9D" w14:textId="77777777" w:rsidTr="00835D2A">
        <w:tc>
          <w:tcPr>
            <w:tcW w:w="3192" w:type="dxa"/>
          </w:tcPr>
          <w:p w14:paraId="13E26B50"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703B9C6C" w14:textId="77777777" w:rsidR="00835D2A"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Neni 25 i ligjit bazik, paragrafi 4, riformulohet me tekstin si në vijim: Kryetarin, zëvendëskryetarin dhe anëtarët e Komisionit Kosovar të Konkurrencës propozohen nga Qeveria dhe emërohen nga Kuvendi. Neni 25 i ligjit bazik, pas paragrafit 4 shtohet një paragraf i ri 5 me tekstin si në vijim: Qeveria, gjashtëdhjetë (60) ditë para përfundimit të mandatit të anëtarëve të Komisionit, ia propozon Kuvendit për emërim ose riemërim kandidatin për anëtarë të Komisionit.</w:t>
            </w:r>
          </w:p>
          <w:p w14:paraId="39ECDC90" w14:textId="77777777" w:rsidR="005F230E" w:rsidRPr="000D3717" w:rsidRDefault="005F230E" w:rsidP="005F230E">
            <w:pPr>
              <w:jc w:val="both"/>
              <w:rPr>
                <w:rFonts w:ascii="Times New Roman" w:hAnsi="Times New Roman" w:cs="Times New Roman"/>
                <w:sz w:val="24"/>
                <w:szCs w:val="24"/>
              </w:rPr>
            </w:pPr>
          </w:p>
          <w:p w14:paraId="4ED64792"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Duke u bazuar në përvojën e kaluar të Komisionit të AKK-së të cilit i kishte skaduar mandati ligjor ishte krijuar vakum institucional sepse Qeveria dhe Kuvendi brenda afatit ligjor nuk ka emëruar Komisionin e ri sipas dispozitave ligjore të përcaktuara në Ligj. Mbi këtë bazë AKK dhe administrata ka ngecur në të gjitha procedurat e vendimmarrjes, dhe ka humbur shumë nga përfitimet të cilat janë ofruar nga donator</w:t>
            </w:r>
            <w:r w:rsidR="002F2228">
              <w:rPr>
                <w:rFonts w:ascii="Times New Roman" w:hAnsi="Times New Roman" w:cs="Times New Roman"/>
                <w:sz w:val="24"/>
                <w:szCs w:val="24"/>
              </w:rPr>
              <w:t>ë</w:t>
            </w:r>
            <w:r w:rsidRPr="000D3717">
              <w:rPr>
                <w:rFonts w:ascii="Times New Roman" w:hAnsi="Times New Roman" w:cs="Times New Roman"/>
                <w:sz w:val="24"/>
                <w:szCs w:val="24"/>
              </w:rPr>
              <w:t>t e ndryshëm.</w:t>
            </w:r>
          </w:p>
          <w:p w14:paraId="0D847BEB" w14:textId="77777777" w:rsidR="005F230E" w:rsidRPr="000D3717" w:rsidRDefault="005F230E" w:rsidP="008B3B4A">
            <w:pPr>
              <w:jc w:val="both"/>
              <w:rPr>
                <w:rFonts w:ascii="Times New Roman" w:hAnsi="Times New Roman" w:cs="Times New Roman"/>
                <w:sz w:val="24"/>
                <w:szCs w:val="24"/>
              </w:rPr>
            </w:pPr>
          </w:p>
        </w:tc>
      </w:tr>
      <w:tr w:rsidR="00835D2A" w:rsidRPr="000D3717" w14:paraId="12A816AE" w14:textId="77777777" w:rsidTr="00835D2A">
        <w:tc>
          <w:tcPr>
            <w:tcW w:w="3192" w:type="dxa"/>
          </w:tcPr>
          <w:p w14:paraId="4702C413"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5028F607" w14:textId="47E2AA7F" w:rsidR="00835D2A" w:rsidRPr="000D3717" w:rsidRDefault="005F230E" w:rsidP="00835D2A">
            <w:pPr>
              <w:jc w:val="both"/>
              <w:rPr>
                <w:rFonts w:ascii="Times New Roman" w:hAnsi="Times New Roman" w:cs="Times New Roman"/>
                <w:sz w:val="24"/>
                <w:szCs w:val="24"/>
              </w:rPr>
            </w:pPr>
            <w:r w:rsidRPr="000D3717">
              <w:rPr>
                <w:rFonts w:ascii="Times New Roman" w:hAnsi="Times New Roman" w:cs="Times New Roman"/>
                <w:sz w:val="24"/>
                <w:szCs w:val="24"/>
              </w:rPr>
              <w:t xml:space="preserve">Rekomandojmë që në Ligjin e ri të përcaktohet  </w:t>
            </w:r>
            <w:r w:rsidR="008B3B4A" w:rsidRPr="000D3717">
              <w:rPr>
                <w:rFonts w:ascii="Times New Roman" w:hAnsi="Times New Roman" w:cs="Times New Roman"/>
                <w:sz w:val="24"/>
                <w:szCs w:val="24"/>
              </w:rPr>
              <w:t>q</w:t>
            </w:r>
            <w:r w:rsidRPr="000D3717">
              <w:rPr>
                <w:rFonts w:ascii="Times New Roman" w:hAnsi="Times New Roman" w:cs="Times New Roman"/>
                <w:sz w:val="24"/>
                <w:szCs w:val="24"/>
              </w:rPr>
              <w:t>artë që Kryetari dhe anëtar</w:t>
            </w:r>
            <w:r w:rsidR="002F2228">
              <w:rPr>
                <w:rFonts w:ascii="Times New Roman" w:hAnsi="Times New Roman" w:cs="Times New Roman"/>
                <w:sz w:val="24"/>
                <w:szCs w:val="24"/>
              </w:rPr>
              <w:t>ë</w:t>
            </w:r>
            <w:r w:rsidRPr="000D3717">
              <w:rPr>
                <w:rFonts w:ascii="Times New Roman" w:hAnsi="Times New Roman" w:cs="Times New Roman"/>
                <w:sz w:val="24"/>
                <w:szCs w:val="24"/>
              </w:rPr>
              <w:t>t e Komisionit aktual të ushtrojnë detyrën e tyre deri në emërimin e anëtarëve të rinj.</w:t>
            </w:r>
          </w:p>
          <w:p w14:paraId="4E733E50" w14:textId="77777777" w:rsidR="005F230E" w:rsidRPr="000D3717" w:rsidRDefault="005F230E" w:rsidP="00835D2A">
            <w:pPr>
              <w:jc w:val="both"/>
              <w:rPr>
                <w:rFonts w:ascii="Times New Roman" w:hAnsi="Times New Roman" w:cs="Times New Roman"/>
                <w:i/>
                <w:sz w:val="24"/>
                <w:szCs w:val="24"/>
              </w:rPr>
            </w:pPr>
            <w:r w:rsidRPr="000D3717">
              <w:rPr>
                <w:rFonts w:ascii="Times New Roman" w:hAnsi="Times New Roman" w:cs="Times New Roman"/>
                <w:i/>
                <w:sz w:val="24"/>
                <w:szCs w:val="24"/>
              </w:rPr>
              <w:t>ose</w:t>
            </w:r>
          </w:p>
          <w:p w14:paraId="362A5FC0" w14:textId="01AB4CAA" w:rsidR="005F230E" w:rsidRPr="000D3717" w:rsidRDefault="005F230E" w:rsidP="00835D2A">
            <w:pPr>
              <w:jc w:val="both"/>
              <w:rPr>
                <w:rFonts w:ascii="Times New Roman" w:hAnsi="Times New Roman" w:cs="Times New Roman"/>
                <w:sz w:val="24"/>
                <w:szCs w:val="24"/>
              </w:rPr>
            </w:pPr>
            <w:r w:rsidRPr="000D3717">
              <w:rPr>
                <w:rFonts w:ascii="Times New Roman" w:hAnsi="Times New Roman" w:cs="Times New Roman"/>
                <w:sz w:val="24"/>
                <w:szCs w:val="24"/>
              </w:rPr>
              <w:t>T</w:t>
            </w:r>
            <w:r w:rsidR="008B3B4A" w:rsidRPr="000D3717">
              <w:rPr>
                <w:rFonts w:ascii="Times New Roman" w:hAnsi="Times New Roman" w:cs="Times New Roman"/>
                <w:sz w:val="24"/>
                <w:szCs w:val="24"/>
              </w:rPr>
              <w:t>ë</w:t>
            </w:r>
            <w:r w:rsidRPr="000D3717">
              <w:rPr>
                <w:rFonts w:ascii="Times New Roman" w:hAnsi="Times New Roman" w:cs="Times New Roman"/>
                <w:sz w:val="24"/>
                <w:szCs w:val="24"/>
              </w:rPr>
              <w:t xml:space="preserve"> shtohet par</w:t>
            </w:r>
            <w:r w:rsidR="002F2228">
              <w:rPr>
                <w:rFonts w:ascii="Times New Roman" w:hAnsi="Times New Roman" w:cs="Times New Roman"/>
                <w:sz w:val="24"/>
                <w:szCs w:val="24"/>
              </w:rPr>
              <w:t>agraf i ri</w:t>
            </w:r>
            <w:r w:rsidRPr="000D3717">
              <w:rPr>
                <w:rFonts w:ascii="Times New Roman" w:hAnsi="Times New Roman" w:cs="Times New Roman"/>
                <w:sz w:val="24"/>
                <w:szCs w:val="24"/>
              </w:rPr>
              <w:t xml:space="preserve"> në nenin 25 për vazhdimin e punës së komisionarëve deri në emërimin e anëtarëve të ri që do të formulohej</w:t>
            </w:r>
            <w:r w:rsidR="00345C41">
              <w:rPr>
                <w:rFonts w:ascii="Times New Roman" w:hAnsi="Times New Roman" w:cs="Times New Roman"/>
                <w:sz w:val="24"/>
                <w:szCs w:val="24"/>
              </w:rPr>
              <w:t>,</w:t>
            </w:r>
            <w:r w:rsidRPr="000D3717">
              <w:rPr>
                <w:rFonts w:ascii="Times New Roman" w:hAnsi="Times New Roman" w:cs="Times New Roman"/>
                <w:sz w:val="24"/>
                <w:szCs w:val="24"/>
              </w:rPr>
              <w:t xml:space="preserve"> </w:t>
            </w:r>
            <w:r w:rsidR="00345C41">
              <w:rPr>
                <w:rFonts w:ascii="Times New Roman" w:hAnsi="Times New Roman" w:cs="Times New Roman"/>
                <w:sz w:val="24"/>
                <w:szCs w:val="24"/>
              </w:rPr>
              <w:t>n</w:t>
            </w:r>
            <w:r w:rsidRPr="000D3717">
              <w:rPr>
                <w:rFonts w:ascii="Times New Roman" w:hAnsi="Times New Roman" w:cs="Times New Roman"/>
                <w:sz w:val="24"/>
                <w:szCs w:val="24"/>
              </w:rPr>
              <w:t>ë rast kur mandati i anëtarit të Komisionit ka përfunduar dhe nuk është realizuar emërimi i anëtarit të ri, anëtari i vjetër  qëndron në detyrë deri në zëvendësimin e tij. Kjo praktikë zbatohet edhe në shtetet e rajonit.</w:t>
            </w:r>
          </w:p>
        </w:tc>
      </w:tr>
    </w:tbl>
    <w:p w14:paraId="557AC117" w14:textId="77777777" w:rsidR="00835D2A" w:rsidRPr="000D3717" w:rsidRDefault="00835D2A"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835D2A" w:rsidRPr="000D3717" w14:paraId="441E55AC" w14:textId="77777777" w:rsidTr="00835D2A">
        <w:tc>
          <w:tcPr>
            <w:tcW w:w="3192" w:type="dxa"/>
          </w:tcPr>
          <w:p w14:paraId="614E6BD1"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188B1050"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 xml:space="preserve">Neni 62 rregullon mbrojtjen gjyqësore ku pala brenda afatit 30 ditor ka të drejtë të iniciojë konflikt administrativ në Gjykatën Kompetente të Kosovës kundër vendimit të Autoritetit të </w:t>
            </w:r>
            <w:r w:rsidRPr="000D3717">
              <w:rPr>
                <w:rFonts w:ascii="Times New Roman" w:hAnsi="Times New Roman" w:cs="Times New Roman"/>
                <w:sz w:val="24"/>
                <w:szCs w:val="24"/>
              </w:rPr>
              <w:lastRenderedPageBreak/>
              <w:t xml:space="preserve">Konkurrencës. Ligji bazik ka paraparë që inicimi i konfliktit administrativ të mos e ndalojë ekzekutimin e vendimit të Autoritetit. Mirëpo, kjo është ndryshuar me nenin 26, ku inicimi i konfliktit administrativ e ndalon ekzekutimin e vendimit. </w:t>
            </w:r>
            <w:r w:rsidR="00A503C5" w:rsidRPr="000D3717">
              <w:rPr>
                <w:rFonts w:ascii="Times New Roman" w:hAnsi="Times New Roman" w:cs="Times New Roman"/>
                <w:sz w:val="24"/>
                <w:szCs w:val="24"/>
              </w:rPr>
              <w:t>(Kjo është ndryshuar me plotësim ndryshimin e Ligjit L04-226)</w:t>
            </w:r>
          </w:p>
          <w:p w14:paraId="29FD894E" w14:textId="77777777" w:rsidR="005F230E" w:rsidRPr="000D3717" w:rsidRDefault="005F230E" w:rsidP="005F230E">
            <w:pPr>
              <w:jc w:val="both"/>
              <w:rPr>
                <w:rFonts w:ascii="Times New Roman" w:hAnsi="Times New Roman" w:cs="Times New Roman"/>
                <w:sz w:val="24"/>
                <w:szCs w:val="24"/>
              </w:rPr>
            </w:pPr>
          </w:p>
          <w:p w14:paraId="7E8950AC"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Ndalimi i ekzekutimit të vendimit të autoritetit me inicimin e konfliktit administrativ, sjell rrezikun që dëmi që supozohet se është shkaktuar në treg të vazhdojë të krijojë efekte negative dhe të dëmshme për konkurrencën, rrjedhimisht duke minuar rolin ekzekutues të Autoritetit.</w:t>
            </w:r>
          </w:p>
          <w:p w14:paraId="74E8C06E" w14:textId="77777777" w:rsidR="005F230E" w:rsidRPr="000D3717" w:rsidRDefault="005F230E" w:rsidP="005F230E">
            <w:pPr>
              <w:jc w:val="both"/>
              <w:rPr>
                <w:rFonts w:ascii="Times New Roman" w:hAnsi="Times New Roman" w:cs="Times New Roman"/>
                <w:sz w:val="24"/>
                <w:szCs w:val="24"/>
              </w:rPr>
            </w:pPr>
          </w:p>
          <w:p w14:paraId="202B362C"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 xml:space="preserve">Si rrjedhojë, kjo rrezikon zvarritjen e lëndëve në gjykata dhe praninë e efekteve negative në treg që cenojnë parimet e konkurrencës së lirë. </w:t>
            </w:r>
          </w:p>
          <w:p w14:paraId="34C9F35A"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 xml:space="preserve">Autoriteti vepron ligjërisht, është i pavarur dhe objektiv gjatë marrjes së  vendimeve, përveç nëse vendimi i gjykatës e dëshmon të kundërtën. </w:t>
            </w:r>
          </w:p>
          <w:p w14:paraId="42899478" w14:textId="77777777" w:rsidR="005F230E" w:rsidRPr="000D3717" w:rsidRDefault="005F230E" w:rsidP="005F230E">
            <w:pPr>
              <w:jc w:val="both"/>
              <w:rPr>
                <w:rFonts w:ascii="Times New Roman" w:hAnsi="Times New Roman" w:cs="Times New Roman"/>
                <w:sz w:val="24"/>
                <w:szCs w:val="24"/>
              </w:rPr>
            </w:pPr>
          </w:p>
          <w:p w14:paraId="33119217" w14:textId="00550092" w:rsidR="00835D2A" w:rsidRPr="000D3717" w:rsidRDefault="005F230E" w:rsidP="0097586A">
            <w:pPr>
              <w:jc w:val="both"/>
              <w:rPr>
                <w:rFonts w:ascii="Times New Roman" w:hAnsi="Times New Roman" w:cs="Times New Roman"/>
                <w:sz w:val="24"/>
                <w:szCs w:val="24"/>
              </w:rPr>
            </w:pPr>
            <w:r w:rsidRPr="000D3717">
              <w:rPr>
                <w:rFonts w:ascii="Times New Roman" w:hAnsi="Times New Roman" w:cs="Times New Roman"/>
                <w:sz w:val="24"/>
                <w:szCs w:val="24"/>
              </w:rPr>
              <w:t xml:space="preserve">Lidhur me këtë, për të </w:t>
            </w:r>
            <w:r w:rsidR="0097586A">
              <w:rPr>
                <w:rFonts w:ascii="Times New Roman" w:hAnsi="Times New Roman" w:cs="Times New Roman"/>
                <w:sz w:val="24"/>
                <w:szCs w:val="24"/>
              </w:rPr>
              <w:t>zvogëluar</w:t>
            </w:r>
            <w:r w:rsidR="001E6E98">
              <w:rPr>
                <w:rFonts w:ascii="Times New Roman" w:hAnsi="Times New Roman" w:cs="Times New Roman"/>
                <w:sz w:val="24"/>
                <w:szCs w:val="24"/>
              </w:rPr>
              <w:t xml:space="preserve"> </w:t>
            </w:r>
            <w:r w:rsidRPr="000D3717">
              <w:rPr>
                <w:rFonts w:ascii="Times New Roman" w:hAnsi="Times New Roman" w:cs="Times New Roman"/>
                <w:sz w:val="24"/>
                <w:szCs w:val="24"/>
              </w:rPr>
              <w:t xml:space="preserve">efektet që ky ndryshim mund t’i sjellë ndaj operatorëve ekonomik në rast se gjykata vendos në favor të palës së pakënaqur, atëherë ligji për mbrojtjen e konkurrencës duhet të përmbajë masa adekuate </w:t>
            </w:r>
            <w:proofErr w:type="spellStart"/>
            <w:r w:rsidRPr="000D3717">
              <w:rPr>
                <w:rFonts w:ascii="Times New Roman" w:hAnsi="Times New Roman" w:cs="Times New Roman"/>
                <w:sz w:val="24"/>
                <w:szCs w:val="24"/>
              </w:rPr>
              <w:t>kompen</w:t>
            </w:r>
            <w:r w:rsidR="0097586A">
              <w:rPr>
                <w:rFonts w:ascii="Times New Roman" w:hAnsi="Times New Roman" w:cs="Times New Roman"/>
                <w:sz w:val="24"/>
                <w:szCs w:val="24"/>
              </w:rPr>
              <w:t>z</w:t>
            </w:r>
            <w:r w:rsidRPr="000D3717">
              <w:rPr>
                <w:rFonts w:ascii="Times New Roman" w:hAnsi="Times New Roman" w:cs="Times New Roman"/>
                <w:sz w:val="24"/>
                <w:szCs w:val="24"/>
              </w:rPr>
              <w:t>uese</w:t>
            </w:r>
            <w:proofErr w:type="spellEnd"/>
            <w:r w:rsidRPr="000D3717">
              <w:rPr>
                <w:rFonts w:ascii="Times New Roman" w:hAnsi="Times New Roman" w:cs="Times New Roman"/>
                <w:sz w:val="24"/>
                <w:szCs w:val="24"/>
              </w:rPr>
              <w:t xml:space="preserve"> për palën e dëmtuar.</w:t>
            </w:r>
          </w:p>
        </w:tc>
      </w:tr>
      <w:tr w:rsidR="00835D2A" w:rsidRPr="000D3717" w14:paraId="40983EF7" w14:textId="77777777" w:rsidTr="00835D2A">
        <w:tc>
          <w:tcPr>
            <w:tcW w:w="3192" w:type="dxa"/>
          </w:tcPr>
          <w:p w14:paraId="5AC96EBD" w14:textId="77777777" w:rsidR="00835D2A" w:rsidRPr="000D3717" w:rsidRDefault="00835D2A" w:rsidP="00835D2A">
            <w:pPr>
              <w:rPr>
                <w:rFonts w:ascii="Times New Roman" w:hAnsi="Times New Roman" w:cs="Times New Roman"/>
                <w:b/>
                <w:sz w:val="24"/>
                <w:szCs w:val="24"/>
              </w:rPr>
            </w:pPr>
            <w:r w:rsidRPr="000D3717">
              <w:rPr>
                <w:rFonts w:ascii="Times New Roman" w:hAnsi="Times New Roman" w:cs="Times New Roman"/>
                <w:b/>
                <w:sz w:val="24"/>
                <w:szCs w:val="24"/>
              </w:rPr>
              <w:lastRenderedPageBreak/>
              <w:t>REKOMANDIMI</w:t>
            </w:r>
          </w:p>
        </w:tc>
        <w:tc>
          <w:tcPr>
            <w:tcW w:w="6384" w:type="dxa"/>
          </w:tcPr>
          <w:p w14:paraId="7CAA3EE5"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Andaj, rekomandojmë se Vendimi i Autoritetit duhet të mbetet në fuqi dhe të ekzekutohet edhe nëse ka filluar konflikti administrativ derisa me vendim të gjykatës të dëshmohet e kundërta.</w:t>
            </w:r>
          </w:p>
          <w:p w14:paraId="2A3BC929" w14:textId="77777777" w:rsidR="005F230E" w:rsidRPr="000D3717" w:rsidRDefault="005F230E" w:rsidP="005F230E">
            <w:pPr>
              <w:jc w:val="both"/>
              <w:rPr>
                <w:rFonts w:ascii="Times New Roman" w:hAnsi="Times New Roman" w:cs="Times New Roman"/>
                <w:sz w:val="24"/>
                <w:szCs w:val="24"/>
              </w:rPr>
            </w:pPr>
          </w:p>
          <w:p w14:paraId="52A0E802" w14:textId="77777777" w:rsidR="005F230E"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mbetet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fuqi neni 62 paragrafi 4 si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Ligjin baz</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për </w:t>
            </w:r>
            <w:r w:rsidR="0097586A">
              <w:rPr>
                <w:rFonts w:ascii="Times New Roman" w:hAnsi="Times New Roman" w:cs="Times New Roman"/>
                <w:sz w:val="24"/>
                <w:szCs w:val="24"/>
              </w:rPr>
              <w:t>M</w:t>
            </w:r>
            <w:r w:rsidRPr="000D3717">
              <w:rPr>
                <w:rFonts w:ascii="Times New Roman" w:hAnsi="Times New Roman" w:cs="Times New Roman"/>
                <w:sz w:val="24"/>
                <w:szCs w:val="24"/>
              </w:rPr>
              <w:t>brojtjen e Konkurrencës Nr.03/L-229 si vijon:  Inicimi i konfliktit administrativ nuk e ndalon ekzekutimin e vendimit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Komisionit -Autoritetit. Ndërsa</w:t>
            </w:r>
            <w:r w:rsidR="0097586A">
              <w:rPr>
                <w:rFonts w:ascii="Times New Roman" w:hAnsi="Times New Roman" w:cs="Times New Roman"/>
                <w:sz w:val="24"/>
                <w:szCs w:val="24"/>
              </w:rPr>
              <w:t>,</w:t>
            </w:r>
            <w:r w:rsidRPr="000D3717">
              <w:rPr>
                <w:rFonts w:ascii="Times New Roman" w:hAnsi="Times New Roman" w:cs="Times New Roman"/>
                <w:sz w:val="24"/>
                <w:szCs w:val="24"/>
              </w:rPr>
              <w:t xml:space="preserve"> </w:t>
            </w:r>
            <w:r w:rsidR="0097586A">
              <w:rPr>
                <w:rFonts w:ascii="Times New Roman" w:hAnsi="Times New Roman" w:cs="Times New Roman"/>
                <w:sz w:val="24"/>
                <w:szCs w:val="24"/>
              </w:rPr>
              <w:t>n</w:t>
            </w:r>
            <w:r w:rsidRPr="000D3717">
              <w:rPr>
                <w:rFonts w:ascii="Times New Roman" w:hAnsi="Times New Roman" w:cs="Times New Roman"/>
                <w:sz w:val="24"/>
                <w:szCs w:val="24"/>
              </w:rPr>
              <w:t>eni 26 i Plotësim Ndryshimit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Ligjit,</w:t>
            </w:r>
            <w:r w:rsidR="00F51509" w:rsidRPr="000D3717">
              <w:rPr>
                <w:rFonts w:ascii="Times New Roman" w:hAnsi="Times New Roman" w:cs="Times New Roman"/>
                <w:sz w:val="24"/>
                <w:szCs w:val="24"/>
              </w:rPr>
              <w:t xml:space="preserve"> </w:t>
            </w:r>
            <w:r w:rsidRPr="000D3717">
              <w:rPr>
                <w:rFonts w:ascii="Times New Roman" w:hAnsi="Times New Roman" w:cs="Times New Roman"/>
                <w:sz w:val="24"/>
                <w:szCs w:val="24"/>
              </w:rPr>
              <w:t>paragrafi 4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riformulohet si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Ligjin baz</w:t>
            </w:r>
            <w:r w:rsidR="0097586A">
              <w:rPr>
                <w:rFonts w:ascii="Times New Roman" w:hAnsi="Times New Roman" w:cs="Times New Roman"/>
                <w:sz w:val="24"/>
                <w:szCs w:val="24"/>
              </w:rPr>
              <w:t>ë</w:t>
            </w:r>
            <w:r w:rsidRPr="000D3717">
              <w:rPr>
                <w:rFonts w:ascii="Times New Roman" w:hAnsi="Times New Roman" w:cs="Times New Roman"/>
                <w:sz w:val="24"/>
                <w:szCs w:val="24"/>
              </w:rPr>
              <w:t>.</w:t>
            </w:r>
            <w:r w:rsidR="00D762F8" w:rsidRPr="000D3717">
              <w:rPr>
                <w:rFonts w:ascii="Times New Roman" w:hAnsi="Times New Roman" w:cs="Times New Roman"/>
                <w:sz w:val="24"/>
                <w:szCs w:val="24"/>
              </w:rPr>
              <w:t xml:space="preserve"> Gjithashtu t</w:t>
            </w:r>
            <w:r w:rsidR="0097586A">
              <w:rPr>
                <w:rFonts w:ascii="Times New Roman" w:hAnsi="Times New Roman" w:cs="Times New Roman"/>
                <w:sz w:val="24"/>
                <w:szCs w:val="24"/>
              </w:rPr>
              <w:t>ë</w:t>
            </w:r>
            <w:r w:rsidR="00D762F8" w:rsidRPr="000D3717">
              <w:rPr>
                <w:rFonts w:ascii="Times New Roman" w:hAnsi="Times New Roman" w:cs="Times New Roman"/>
                <w:sz w:val="24"/>
                <w:szCs w:val="24"/>
              </w:rPr>
              <w:t xml:space="preserve"> ndryshohet </w:t>
            </w:r>
            <w:r w:rsidR="0097586A">
              <w:rPr>
                <w:rFonts w:ascii="Times New Roman" w:hAnsi="Times New Roman" w:cs="Times New Roman"/>
                <w:sz w:val="24"/>
                <w:szCs w:val="24"/>
              </w:rPr>
              <w:t>n</w:t>
            </w:r>
            <w:r w:rsidR="00D762F8" w:rsidRPr="000D3717">
              <w:rPr>
                <w:rFonts w:ascii="Times New Roman" w:hAnsi="Times New Roman" w:cs="Times New Roman"/>
                <w:sz w:val="24"/>
                <w:szCs w:val="24"/>
              </w:rPr>
              <w:t xml:space="preserve">eni 63, paragrafi 2. </w:t>
            </w:r>
          </w:p>
          <w:p w14:paraId="01F184D3" w14:textId="77777777" w:rsidR="005F230E" w:rsidRPr="000D3717" w:rsidRDefault="005F230E" w:rsidP="005F230E">
            <w:pPr>
              <w:jc w:val="both"/>
              <w:rPr>
                <w:rFonts w:ascii="Times New Roman" w:hAnsi="Times New Roman" w:cs="Times New Roman"/>
                <w:sz w:val="24"/>
                <w:szCs w:val="24"/>
              </w:rPr>
            </w:pPr>
          </w:p>
          <w:p w14:paraId="29813BF1" w14:textId="1CD83900" w:rsidR="00835D2A" w:rsidRPr="000D3717" w:rsidRDefault="005F230E" w:rsidP="005F230E">
            <w:pPr>
              <w:jc w:val="both"/>
              <w:rPr>
                <w:rFonts w:ascii="Times New Roman" w:hAnsi="Times New Roman" w:cs="Times New Roman"/>
                <w:sz w:val="24"/>
                <w:szCs w:val="24"/>
              </w:rPr>
            </w:pPr>
            <w:r w:rsidRPr="000D3717">
              <w:rPr>
                <w:rFonts w:ascii="Times New Roman" w:hAnsi="Times New Roman" w:cs="Times New Roman"/>
                <w:sz w:val="24"/>
                <w:szCs w:val="24"/>
              </w:rPr>
              <w:t>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rast s</w:t>
            </w:r>
            <w:r w:rsidR="00345C41">
              <w:rPr>
                <w:rFonts w:ascii="Times New Roman" w:hAnsi="Times New Roman" w:cs="Times New Roman"/>
                <w:sz w:val="24"/>
                <w:szCs w:val="24"/>
              </w:rPr>
              <w:t>ë</w:t>
            </w:r>
            <w:r w:rsidRPr="000D3717">
              <w:rPr>
                <w:rFonts w:ascii="Times New Roman" w:hAnsi="Times New Roman" w:cs="Times New Roman"/>
                <w:sz w:val="24"/>
                <w:szCs w:val="24"/>
              </w:rPr>
              <w:t xml:space="preserve"> vendoset </w:t>
            </w:r>
            <w:r w:rsidR="00345C41">
              <w:rPr>
                <w:rFonts w:ascii="Times New Roman" w:hAnsi="Times New Roman" w:cs="Times New Roman"/>
                <w:sz w:val="24"/>
                <w:szCs w:val="24"/>
              </w:rPr>
              <w:t>që</w:t>
            </w:r>
            <w:r w:rsidR="0097586A">
              <w:rPr>
                <w:rFonts w:ascii="Times New Roman" w:hAnsi="Times New Roman" w:cs="Times New Roman"/>
                <w:sz w:val="24"/>
                <w:szCs w:val="24"/>
              </w:rPr>
              <w:t>,</w:t>
            </w:r>
            <w:r w:rsidRPr="000D3717">
              <w:rPr>
                <w:rFonts w:ascii="Times New Roman" w:hAnsi="Times New Roman" w:cs="Times New Roman"/>
                <w:sz w:val="24"/>
                <w:szCs w:val="24"/>
              </w:rPr>
              <w:t xml:space="preserve"> vendimet e Autoritetit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jen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ekzekutueshme edhe nëse ka filluar konflikti administrativ, atëherë ligji duhet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përmbaje masa adekuate </w:t>
            </w:r>
            <w:proofErr w:type="spellStart"/>
            <w:r w:rsidRPr="000D3717">
              <w:rPr>
                <w:rFonts w:ascii="Times New Roman" w:hAnsi="Times New Roman" w:cs="Times New Roman"/>
                <w:sz w:val="24"/>
                <w:szCs w:val="24"/>
              </w:rPr>
              <w:t>komp</w:t>
            </w:r>
            <w:r w:rsidR="003674D7" w:rsidRPr="000D3717">
              <w:rPr>
                <w:rFonts w:ascii="Times New Roman" w:hAnsi="Times New Roman" w:cs="Times New Roman"/>
                <w:sz w:val="24"/>
                <w:szCs w:val="24"/>
              </w:rPr>
              <w:t>en</w:t>
            </w:r>
            <w:r w:rsidRPr="000D3717">
              <w:rPr>
                <w:rFonts w:ascii="Times New Roman" w:hAnsi="Times New Roman" w:cs="Times New Roman"/>
                <w:sz w:val="24"/>
                <w:szCs w:val="24"/>
              </w:rPr>
              <w:t>zuese</w:t>
            </w:r>
            <w:proofErr w:type="spellEnd"/>
            <w:r w:rsidRPr="000D3717">
              <w:rPr>
                <w:rFonts w:ascii="Times New Roman" w:hAnsi="Times New Roman" w:cs="Times New Roman"/>
                <w:sz w:val="24"/>
                <w:szCs w:val="24"/>
              </w:rPr>
              <w:t xml:space="preserve"> për palën e dëmtuar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rastet kur gjykata vendos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favor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palës ankuese.</w:t>
            </w:r>
          </w:p>
          <w:p w14:paraId="5DE54340" w14:textId="77777777" w:rsidR="00D762F8" w:rsidRPr="000D3717" w:rsidRDefault="00D762F8" w:rsidP="005F230E">
            <w:pPr>
              <w:jc w:val="both"/>
              <w:rPr>
                <w:rFonts w:ascii="Times New Roman" w:hAnsi="Times New Roman" w:cs="Times New Roman"/>
                <w:sz w:val="24"/>
                <w:szCs w:val="24"/>
              </w:rPr>
            </w:pPr>
          </w:p>
          <w:p w14:paraId="3F51CFA8" w14:textId="48D6A173" w:rsidR="00D762F8" w:rsidRPr="000D3717" w:rsidRDefault="00D762F8" w:rsidP="005F230E">
            <w:pPr>
              <w:jc w:val="both"/>
              <w:rPr>
                <w:rFonts w:ascii="Times New Roman" w:hAnsi="Times New Roman" w:cs="Times New Roman"/>
                <w:sz w:val="24"/>
                <w:szCs w:val="24"/>
              </w:rPr>
            </w:pPr>
            <w:r w:rsidRPr="000D3717">
              <w:rPr>
                <w:rFonts w:ascii="Times New Roman" w:hAnsi="Times New Roman" w:cs="Times New Roman"/>
                <w:sz w:val="24"/>
                <w:szCs w:val="24"/>
              </w:rPr>
              <w:t>Shënim: N</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baz</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analizës se </w:t>
            </w:r>
            <w:proofErr w:type="spellStart"/>
            <w:r w:rsidRPr="000D3717">
              <w:rPr>
                <w:rFonts w:ascii="Times New Roman" w:hAnsi="Times New Roman" w:cs="Times New Roman"/>
                <w:sz w:val="24"/>
                <w:szCs w:val="24"/>
              </w:rPr>
              <w:t>konkur</w:t>
            </w:r>
            <w:r w:rsidR="00204A34">
              <w:rPr>
                <w:rFonts w:ascii="Times New Roman" w:hAnsi="Times New Roman" w:cs="Times New Roman"/>
                <w:sz w:val="24"/>
                <w:szCs w:val="24"/>
              </w:rPr>
              <w:t>r</w:t>
            </w:r>
            <w:r w:rsidRPr="000D3717">
              <w:rPr>
                <w:rFonts w:ascii="Times New Roman" w:hAnsi="Times New Roman" w:cs="Times New Roman"/>
                <w:sz w:val="24"/>
                <w:szCs w:val="24"/>
              </w:rPr>
              <w:t>ueshm</w:t>
            </w:r>
            <w:r w:rsidR="0097586A">
              <w:rPr>
                <w:rFonts w:ascii="Times New Roman" w:hAnsi="Times New Roman" w:cs="Times New Roman"/>
                <w:sz w:val="24"/>
                <w:szCs w:val="24"/>
              </w:rPr>
              <w:t>ë</w:t>
            </w:r>
            <w:r w:rsidRPr="000D3717">
              <w:rPr>
                <w:rFonts w:ascii="Times New Roman" w:hAnsi="Times New Roman" w:cs="Times New Roman"/>
                <w:sz w:val="24"/>
                <w:szCs w:val="24"/>
              </w:rPr>
              <w:t>ris</w:t>
            </w:r>
            <w:r w:rsidR="0097586A">
              <w:rPr>
                <w:rFonts w:ascii="Times New Roman" w:hAnsi="Times New Roman" w:cs="Times New Roman"/>
                <w:sz w:val="24"/>
                <w:szCs w:val="24"/>
              </w:rPr>
              <w:t>ë</w:t>
            </w:r>
            <w:proofErr w:type="spellEnd"/>
            <w:r w:rsidRPr="000D3717">
              <w:rPr>
                <w:rFonts w:ascii="Times New Roman" w:hAnsi="Times New Roman" w:cs="Times New Roman"/>
                <w:sz w:val="24"/>
                <w:szCs w:val="24"/>
              </w:rPr>
              <w:t xml:space="preserve">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konsiderohen edhe alternativat e vendeve t</w:t>
            </w:r>
            <w:r w:rsidR="0097586A">
              <w:rPr>
                <w:rFonts w:ascii="Times New Roman" w:hAnsi="Times New Roman" w:cs="Times New Roman"/>
                <w:sz w:val="24"/>
                <w:szCs w:val="24"/>
              </w:rPr>
              <w:t>ë</w:t>
            </w:r>
            <w:r w:rsidRPr="000D3717">
              <w:rPr>
                <w:rFonts w:ascii="Times New Roman" w:hAnsi="Times New Roman" w:cs="Times New Roman"/>
                <w:sz w:val="24"/>
                <w:szCs w:val="24"/>
              </w:rPr>
              <w:t xml:space="preserve"> rajonit</w:t>
            </w:r>
          </w:p>
        </w:tc>
      </w:tr>
    </w:tbl>
    <w:p w14:paraId="2BB468E4" w14:textId="77777777" w:rsidR="00835D2A" w:rsidRPr="000D3717" w:rsidRDefault="00835D2A"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4775E7" w:rsidRPr="000D3717" w14:paraId="71FD7BD8" w14:textId="77777777" w:rsidTr="00D30A45">
        <w:tc>
          <w:tcPr>
            <w:tcW w:w="3192" w:type="dxa"/>
          </w:tcPr>
          <w:p w14:paraId="4328C087" w14:textId="77777777" w:rsidR="004775E7" w:rsidRPr="000D3717" w:rsidRDefault="004775E7" w:rsidP="00D30A45">
            <w:pPr>
              <w:rPr>
                <w:rFonts w:ascii="Times New Roman" w:hAnsi="Times New Roman" w:cs="Times New Roman"/>
                <w:b/>
                <w:sz w:val="24"/>
                <w:szCs w:val="24"/>
              </w:rPr>
            </w:pPr>
            <w:r w:rsidRPr="000D3717">
              <w:rPr>
                <w:rFonts w:ascii="Times New Roman" w:hAnsi="Times New Roman" w:cs="Times New Roman"/>
                <w:b/>
                <w:sz w:val="24"/>
                <w:szCs w:val="24"/>
              </w:rPr>
              <w:lastRenderedPageBreak/>
              <w:t>ANALIZA</w:t>
            </w:r>
          </w:p>
        </w:tc>
        <w:tc>
          <w:tcPr>
            <w:tcW w:w="6384" w:type="dxa"/>
          </w:tcPr>
          <w:p w14:paraId="0D6EE2BF" w14:textId="77777777" w:rsidR="004775E7" w:rsidRPr="000D3717" w:rsidRDefault="008C0B35" w:rsidP="00D30A45">
            <w:pPr>
              <w:jc w:val="both"/>
              <w:rPr>
                <w:rFonts w:ascii="Times New Roman" w:hAnsi="Times New Roman" w:cs="Times New Roman"/>
                <w:sz w:val="24"/>
                <w:szCs w:val="24"/>
              </w:rPr>
            </w:pPr>
            <w:r w:rsidRPr="000D3717">
              <w:rPr>
                <w:rFonts w:ascii="Times New Roman" w:hAnsi="Times New Roman" w:cs="Times New Roman"/>
                <w:sz w:val="24"/>
                <w:szCs w:val="24"/>
              </w:rPr>
              <w:t>Kompetencat e ndihmës shtetërore kanë kaluar n</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kompetencat e Ministrisë se Financave.</w:t>
            </w:r>
          </w:p>
        </w:tc>
      </w:tr>
      <w:tr w:rsidR="004775E7" w:rsidRPr="000D3717" w14:paraId="36F86C36" w14:textId="77777777" w:rsidTr="00D30A45">
        <w:tc>
          <w:tcPr>
            <w:tcW w:w="3192" w:type="dxa"/>
          </w:tcPr>
          <w:p w14:paraId="24851218" w14:textId="77777777" w:rsidR="004775E7" w:rsidRPr="000D3717" w:rsidRDefault="004775E7"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2013E9AE" w14:textId="77777777" w:rsidR="004775E7" w:rsidRPr="000D3717" w:rsidRDefault="00BC7316"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Të fshihet </w:t>
            </w:r>
            <w:r w:rsidR="0021742B">
              <w:rPr>
                <w:rFonts w:ascii="Times New Roman" w:hAnsi="Times New Roman" w:cs="Times New Roman"/>
                <w:sz w:val="24"/>
                <w:szCs w:val="24"/>
              </w:rPr>
              <w:t>n</w:t>
            </w:r>
            <w:r w:rsidRPr="000D3717">
              <w:rPr>
                <w:rFonts w:ascii="Times New Roman" w:hAnsi="Times New Roman" w:cs="Times New Roman"/>
                <w:sz w:val="24"/>
                <w:szCs w:val="24"/>
              </w:rPr>
              <w:t>eni</w:t>
            </w:r>
            <w:r w:rsidR="004775E7" w:rsidRPr="000D3717">
              <w:rPr>
                <w:rFonts w:ascii="Times New Roman" w:hAnsi="Times New Roman" w:cs="Times New Roman"/>
                <w:sz w:val="24"/>
                <w:szCs w:val="24"/>
              </w:rPr>
              <w:t xml:space="preserve"> 24. i Ligjit për Mb</w:t>
            </w:r>
            <w:r w:rsidRPr="000D3717">
              <w:rPr>
                <w:rFonts w:ascii="Times New Roman" w:hAnsi="Times New Roman" w:cs="Times New Roman"/>
                <w:sz w:val="24"/>
                <w:szCs w:val="24"/>
              </w:rPr>
              <w:t>rojtjen e Konkurrencës pjesa që</w:t>
            </w:r>
            <w:r w:rsidR="004775E7" w:rsidRPr="000D3717">
              <w:rPr>
                <w:rFonts w:ascii="Times New Roman" w:hAnsi="Times New Roman" w:cs="Times New Roman"/>
                <w:sz w:val="24"/>
                <w:szCs w:val="24"/>
              </w:rPr>
              <w:t xml:space="preserve"> flet për Ndihmën s</w:t>
            </w:r>
            <w:r w:rsidRPr="000D3717">
              <w:rPr>
                <w:rFonts w:ascii="Times New Roman" w:hAnsi="Times New Roman" w:cs="Times New Roman"/>
                <w:sz w:val="24"/>
                <w:szCs w:val="24"/>
              </w:rPr>
              <w:t>htetërore si  dhe kudo që rregullohet ndihma</w:t>
            </w:r>
            <w:r w:rsidR="004775E7" w:rsidRPr="000D3717">
              <w:rPr>
                <w:rFonts w:ascii="Times New Roman" w:hAnsi="Times New Roman" w:cs="Times New Roman"/>
                <w:sz w:val="24"/>
                <w:szCs w:val="24"/>
              </w:rPr>
              <w:t xml:space="preserve"> shtetërore.   </w:t>
            </w:r>
          </w:p>
        </w:tc>
      </w:tr>
    </w:tbl>
    <w:p w14:paraId="735C2FB4" w14:textId="77777777" w:rsidR="004775E7" w:rsidRPr="000D3717" w:rsidRDefault="004775E7"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70DDECF7" w14:textId="77777777" w:rsidTr="00D30A45">
        <w:tc>
          <w:tcPr>
            <w:tcW w:w="3192" w:type="dxa"/>
          </w:tcPr>
          <w:p w14:paraId="329EEF4C"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164F0776" w14:textId="27E4E402" w:rsidR="00695548" w:rsidRPr="000D3717" w:rsidRDefault="00695548" w:rsidP="00D30A45">
            <w:pPr>
              <w:jc w:val="both"/>
              <w:rPr>
                <w:rFonts w:ascii="Times New Roman" w:hAnsi="Times New Roman" w:cs="Times New Roman"/>
                <w:sz w:val="24"/>
                <w:szCs w:val="24"/>
              </w:rPr>
            </w:pPr>
            <w:r w:rsidRPr="000D3717">
              <w:rPr>
                <w:rFonts w:ascii="Times New Roman" w:hAnsi="Times New Roman" w:cs="Times New Roman"/>
                <w:sz w:val="24"/>
                <w:szCs w:val="24"/>
              </w:rPr>
              <w:t>Ligji n</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fuqi ka n</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përbërje </w:t>
            </w:r>
            <w:r w:rsidR="0021742B">
              <w:rPr>
                <w:rFonts w:ascii="Times New Roman" w:hAnsi="Times New Roman" w:cs="Times New Roman"/>
                <w:sz w:val="24"/>
                <w:szCs w:val="24"/>
              </w:rPr>
              <w:t>n</w:t>
            </w:r>
            <w:r w:rsidRPr="000D3717">
              <w:rPr>
                <w:rFonts w:ascii="Times New Roman" w:hAnsi="Times New Roman" w:cs="Times New Roman"/>
                <w:sz w:val="24"/>
                <w:szCs w:val="24"/>
              </w:rPr>
              <w:t>ene t</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cilat kan</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probleme me terminologji dhe si pasoj</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shkaktojnë konfuzion n</w:t>
            </w:r>
            <w:r w:rsidR="0021742B">
              <w:rPr>
                <w:rFonts w:ascii="Times New Roman" w:hAnsi="Times New Roman" w:cs="Times New Roman"/>
                <w:sz w:val="24"/>
                <w:szCs w:val="24"/>
              </w:rPr>
              <w:t>ë</w:t>
            </w:r>
            <w:r w:rsidRPr="000D3717">
              <w:rPr>
                <w:rFonts w:ascii="Times New Roman" w:hAnsi="Times New Roman" w:cs="Times New Roman"/>
                <w:sz w:val="24"/>
                <w:szCs w:val="24"/>
              </w:rPr>
              <w:t xml:space="preserve"> interpretim</w:t>
            </w:r>
            <w:r w:rsidR="00FC7007" w:rsidRPr="000D3717">
              <w:rPr>
                <w:rFonts w:ascii="Times New Roman" w:hAnsi="Times New Roman" w:cs="Times New Roman"/>
                <w:sz w:val="24"/>
                <w:szCs w:val="24"/>
              </w:rPr>
              <w:t>. Për m</w:t>
            </w:r>
            <w:r w:rsidR="0021742B">
              <w:rPr>
                <w:rFonts w:ascii="Times New Roman" w:hAnsi="Times New Roman" w:cs="Times New Roman"/>
                <w:sz w:val="24"/>
                <w:szCs w:val="24"/>
              </w:rPr>
              <w:t>ë</w:t>
            </w:r>
            <w:r w:rsidR="00FC7007" w:rsidRPr="000D3717">
              <w:rPr>
                <w:rFonts w:ascii="Times New Roman" w:hAnsi="Times New Roman" w:cs="Times New Roman"/>
                <w:sz w:val="24"/>
                <w:szCs w:val="24"/>
              </w:rPr>
              <w:t xml:space="preserve"> tepër, përkthimi në anglisht nuk është </w:t>
            </w:r>
            <w:proofErr w:type="spellStart"/>
            <w:r w:rsidR="00FC7007" w:rsidRPr="000D3717">
              <w:rPr>
                <w:rFonts w:ascii="Times New Roman" w:hAnsi="Times New Roman" w:cs="Times New Roman"/>
                <w:sz w:val="24"/>
                <w:szCs w:val="24"/>
              </w:rPr>
              <w:t>konsistent</w:t>
            </w:r>
            <w:proofErr w:type="spellEnd"/>
            <w:r w:rsidR="00FC7007" w:rsidRPr="000D3717">
              <w:rPr>
                <w:rFonts w:ascii="Times New Roman" w:hAnsi="Times New Roman" w:cs="Times New Roman"/>
                <w:sz w:val="24"/>
                <w:szCs w:val="24"/>
              </w:rPr>
              <w:t xml:space="preserve"> dhe në përputhje me terminologjinë e miratuar të BE-së për konkurrencën. Nuk është e qartë se termat e përkthyer</w:t>
            </w:r>
            <w:r w:rsidR="00E35AB2">
              <w:rPr>
                <w:rFonts w:ascii="Times New Roman" w:hAnsi="Times New Roman" w:cs="Times New Roman"/>
                <w:sz w:val="24"/>
                <w:szCs w:val="24"/>
              </w:rPr>
              <w:t>,</w:t>
            </w:r>
            <w:r w:rsidR="00FC7007" w:rsidRPr="000D3717">
              <w:rPr>
                <w:rFonts w:ascii="Times New Roman" w:hAnsi="Times New Roman" w:cs="Times New Roman"/>
                <w:sz w:val="24"/>
                <w:szCs w:val="24"/>
              </w:rPr>
              <w:t xml:space="preserve"> cilave terma ligjor të konkurrencës në nivel të BE-së ju referohen</w:t>
            </w:r>
            <w:r w:rsidR="00213765">
              <w:rPr>
                <w:rFonts w:ascii="Times New Roman" w:hAnsi="Times New Roman" w:cs="Times New Roman"/>
                <w:sz w:val="24"/>
                <w:szCs w:val="24"/>
              </w:rPr>
              <w:t>.</w:t>
            </w:r>
          </w:p>
        </w:tc>
      </w:tr>
      <w:tr w:rsidR="00695548" w:rsidRPr="000D3717" w14:paraId="00B0ABF4" w14:textId="77777777" w:rsidTr="00D30A45">
        <w:tc>
          <w:tcPr>
            <w:tcW w:w="3192" w:type="dxa"/>
          </w:tcPr>
          <w:p w14:paraId="0CD8BB4A"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7195CD96" w14:textId="77777777" w:rsidR="00FC7007" w:rsidRPr="000D3717" w:rsidRDefault="00FC7007" w:rsidP="00FC7007">
            <w:pPr>
              <w:rPr>
                <w:rFonts w:ascii="Times New Roman" w:hAnsi="Times New Roman" w:cs="Times New Roman"/>
                <w:sz w:val="24"/>
                <w:szCs w:val="24"/>
              </w:rPr>
            </w:pPr>
            <w:r w:rsidRPr="000D3717">
              <w:rPr>
                <w:rFonts w:ascii="Times New Roman" w:hAnsi="Times New Roman" w:cs="Times New Roman"/>
                <w:sz w:val="24"/>
                <w:szCs w:val="24"/>
              </w:rPr>
              <w:t>• Termi ‘</w:t>
            </w:r>
            <w:proofErr w:type="spellStart"/>
            <w:r w:rsidRPr="000D3717">
              <w:rPr>
                <w:rFonts w:ascii="Times New Roman" w:hAnsi="Times New Roman" w:cs="Times New Roman"/>
                <w:sz w:val="24"/>
                <w:szCs w:val="24"/>
              </w:rPr>
              <w:t>temporary</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w:t>
            </w:r>
            <w:proofErr w:type="spellEnd"/>
            <w:r w:rsidRPr="000D3717">
              <w:rPr>
                <w:rFonts w:ascii="Times New Roman" w:hAnsi="Times New Roman" w:cs="Times New Roman"/>
                <w:sz w:val="24"/>
                <w:szCs w:val="24"/>
              </w:rPr>
              <w:t>’ duhet të ndryshohet në ‘</w:t>
            </w:r>
            <w:proofErr w:type="spellStart"/>
            <w:r w:rsidRPr="000D3717">
              <w:rPr>
                <w:rFonts w:ascii="Times New Roman" w:hAnsi="Times New Roman" w:cs="Times New Roman"/>
                <w:sz w:val="24"/>
                <w:szCs w:val="24"/>
              </w:rPr>
              <w:t>interim</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measures</w:t>
            </w:r>
            <w:proofErr w:type="spellEnd"/>
            <w:r w:rsidRPr="000D3717">
              <w:rPr>
                <w:rFonts w:ascii="Times New Roman" w:hAnsi="Times New Roman" w:cs="Times New Roman"/>
                <w:sz w:val="24"/>
                <w:szCs w:val="24"/>
              </w:rPr>
              <w:t xml:space="preserve">’, </w:t>
            </w:r>
          </w:p>
          <w:p w14:paraId="1AFCED2E" w14:textId="77777777" w:rsidR="00FC7007" w:rsidRPr="000D3717" w:rsidRDefault="00FC7007" w:rsidP="00FC7007">
            <w:pPr>
              <w:rPr>
                <w:rFonts w:ascii="Times New Roman" w:hAnsi="Times New Roman" w:cs="Times New Roman"/>
                <w:sz w:val="24"/>
                <w:szCs w:val="24"/>
              </w:rPr>
            </w:pPr>
            <w:r w:rsidRPr="000D3717">
              <w:rPr>
                <w:rFonts w:ascii="Times New Roman" w:hAnsi="Times New Roman" w:cs="Times New Roman"/>
                <w:sz w:val="24"/>
                <w:szCs w:val="24"/>
              </w:rPr>
              <w:t>• Termi ‘</w:t>
            </w:r>
            <w:proofErr w:type="spellStart"/>
            <w:r w:rsidRPr="000D3717">
              <w:rPr>
                <w:rFonts w:ascii="Times New Roman" w:hAnsi="Times New Roman" w:cs="Times New Roman"/>
                <w:sz w:val="24"/>
                <w:szCs w:val="24"/>
              </w:rPr>
              <w:t>group</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exemptions</w:t>
            </w:r>
            <w:proofErr w:type="spellEnd"/>
            <w:r w:rsidRPr="000D3717">
              <w:rPr>
                <w:rFonts w:ascii="Times New Roman" w:hAnsi="Times New Roman" w:cs="Times New Roman"/>
                <w:sz w:val="24"/>
                <w:szCs w:val="24"/>
              </w:rPr>
              <w:t>’ (përjashtimet grupore) duhet të ndryshohet në ‘</w:t>
            </w:r>
            <w:proofErr w:type="spellStart"/>
            <w:r w:rsidRPr="000D3717">
              <w:rPr>
                <w:rFonts w:ascii="Times New Roman" w:hAnsi="Times New Roman" w:cs="Times New Roman"/>
                <w:sz w:val="24"/>
                <w:szCs w:val="24"/>
              </w:rPr>
              <w:t>block</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exemption</w:t>
            </w:r>
            <w:proofErr w:type="spellEnd"/>
            <w:r w:rsidRPr="000D3717">
              <w:rPr>
                <w:rFonts w:ascii="Times New Roman" w:hAnsi="Times New Roman" w:cs="Times New Roman"/>
                <w:sz w:val="24"/>
                <w:szCs w:val="24"/>
              </w:rPr>
              <w:t>’ (përjashtimet në bllok)</w:t>
            </w:r>
            <w:r w:rsidR="00213765">
              <w:rPr>
                <w:rFonts w:ascii="Times New Roman" w:hAnsi="Times New Roman" w:cs="Times New Roman"/>
                <w:sz w:val="24"/>
                <w:szCs w:val="24"/>
              </w:rPr>
              <w:t>;</w:t>
            </w:r>
          </w:p>
          <w:p w14:paraId="7423B096" w14:textId="77777777" w:rsidR="00FC7007" w:rsidRPr="000D3717" w:rsidRDefault="00FC7007" w:rsidP="00FC7007">
            <w:pPr>
              <w:rPr>
                <w:rFonts w:ascii="Times New Roman" w:hAnsi="Times New Roman" w:cs="Times New Roman"/>
                <w:sz w:val="24"/>
                <w:szCs w:val="24"/>
              </w:rPr>
            </w:pPr>
            <w:r w:rsidRPr="000D3717">
              <w:rPr>
                <w:rFonts w:ascii="Times New Roman" w:hAnsi="Times New Roman" w:cs="Times New Roman"/>
                <w:sz w:val="24"/>
                <w:szCs w:val="24"/>
              </w:rPr>
              <w:t>• Termi ‘</w:t>
            </w:r>
            <w:proofErr w:type="spellStart"/>
            <w:r w:rsidRPr="000D3717">
              <w:rPr>
                <w:rFonts w:ascii="Times New Roman" w:hAnsi="Times New Roman" w:cs="Times New Roman"/>
                <w:sz w:val="24"/>
                <w:szCs w:val="24"/>
              </w:rPr>
              <w:t>development</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procedures</w:t>
            </w:r>
            <w:proofErr w:type="spellEnd"/>
            <w:r w:rsidRPr="000D3717">
              <w:rPr>
                <w:rFonts w:ascii="Times New Roman" w:hAnsi="Times New Roman" w:cs="Times New Roman"/>
                <w:sz w:val="24"/>
                <w:szCs w:val="24"/>
              </w:rPr>
              <w:t xml:space="preserve">’ është i paqartë por duket se ndërlidhet me procedurat dhe hetimet që kryhen nga Autoriteti </w:t>
            </w:r>
            <w:r w:rsidR="00213765">
              <w:rPr>
                <w:rFonts w:ascii="Times New Roman" w:hAnsi="Times New Roman" w:cs="Times New Roman"/>
                <w:sz w:val="24"/>
                <w:szCs w:val="24"/>
              </w:rPr>
              <w:t>;</w:t>
            </w:r>
          </w:p>
          <w:p w14:paraId="183A5126" w14:textId="77777777" w:rsidR="00FC7007" w:rsidRPr="000D3717" w:rsidRDefault="00FC7007" w:rsidP="00FC7007">
            <w:pPr>
              <w:rPr>
                <w:rFonts w:ascii="Times New Roman" w:hAnsi="Times New Roman" w:cs="Times New Roman"/>
                <w:sz w:val="24"/>
                <w:szCs w:val="24"/>
              </w:rPr>
            </w:pPr>
            <w:r w:rsidRPr="000D3717">
              <w:rPr>
                <w:rFonts w:ascii="Times New Roman" w:hAnsi="Times New Roman" w:cs="Times New Roman"/>
                <w:sz w:val="24"/>
                <w:szCs w:val="24"/>
              </w:rPr>
              <w:t>• Termi ‘</w:t>
            </w:r>
            <w:proofErr w:type="spellStart"/>
            <w:r w:rsidRPr="000D3717">
              <w:rPr>
                <w:rFonts w:ascii="Times New Roman" w:hAnsi="Times New Roman" w:cs="Times New Roman"/>
                <w:sz w:val="24"/>
                <w:szCs w:val="24"/>
              </w:rPr>
              <w:t>punitive</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measures</w:t>
            </w:r>
            <w:proofErr w:type="spellEnd"/>
            <w:r w:rsidRPr="000D3717">
              <w:rPr>
                <w:rFonts w:ascii="Times New Roman" w:hAnsi="Times New Roman" w:cs="Times New Roman"/>
                <w:sz w:val="24"/>
                <w:szCs w:val="24"/>
              </w:rPr>
              <w:t>’ (masa ndëshkuese) duhet të ndryshohet në ‘fines’ (gjobat) pasi që termi ‘</w:t>
            </w:r>
            <w:proofErr w:type="spellStart"/>
            <w:r w:rsidRPr="000D3717">
              <w:rPr>
                <w:rFonts w:ascii="Times New Roman" w:hAnsi="Times New Roman" w:cs="Times New Roman"/>
                <w:sz w:val="24"/>
                <w:szCs w:val="24"/>
              </w:rPr>
              <w:t>punitive</w:t>
            </w:r>
            <w:proofErr w:type="spellEnd"/>
            <w:r w:rsidRPr="000D3717">
              <w:rPr>
                <w:rFonts w:ascii="Times New Roman" w:hAnsi="Times New Roman" w:cs="Times New Roman"/>
                <w:sz w:val="24"/>
                <w:szCs w:val="24"/>
              </w:rPr>
              <w:t>’ i referohet më shumë sanksioneve penale</w:t>
            </w:r>
            <w:r w:rsidR="00213765">
              <w:rPr>
                <w:rFonts w:ascii="Times New Roman" w:hAnsi="Times New Roman" w:cs="Times New Roman"/>
                <w:sz w:val="24"/>
                <w:szCs w:val="24"/>
              </w:rPr>
              <w:t>;</w:t>
            </w:r>
          </w:p>
          <w:p w14:paraId="1047CC97" w14:textId="5DB3A626" w:rsidR="0024523A" w:rsidRDefault="00FC7007" w:rsidP="00FC7007">
            <w:pPr>
              <w:jc w:val="both"/>
              <w:rPr>
                <w:rFonts w:ascii="Times New Roman" w:hAnsi="Times New Roman" w:cs="Times New Roman"/>
                <w:sz w:val="24"/>
                <w:szCs w:val="24"/>
              </w:rPr>
            </w:pPr>
            <w:r w:rsidRPr="000D3717">
              <w:rPr>
                <w:rFonts w:ascii="Times New Roman" w:hAnsi="Times New Roman" w:cs="Times New Roman"/>
                <w:sz w:val="24"/>
                <w:szCs w:val="24"/>
              </w:rPr>
              <w:t xml:space="preserve">• Termi ‘legal </w:t>
            </w:r>
            <w:proofErr w:type="spellStart"/>
            <w:r w:rsidRPr="000D3717">
              <w:rPr>
                <w:rFonts w:ascii="Times New Roman" w:hAnsi="Times New Roman" w:cs="Times New Roman"/>
                <w:sz w:val="24"/>
                <w:szCs w:val="24"/>
              </w:rPr>
              <w:t>defence</w:t>
            </w:r>
            <w:proofErr w:type="spellEnd"/>
            <w:r w:rsidRPr="000D3717">
              <w:rPr>
                <w:rFonts w:ascii="Times New Roman" w:hAnsi="Times New Roman" w:cs="Times New Roman"/>
                <w:sz w:val="24"/>
                <w:szCs w:val="24"/>
              </w:rPr>
              <w:t>’ (</w:t>
            </w:r>
            <w:r w:rsidR="00204A34" w:rsidRPr="000D3717">
              <w:rPr>
                <w:rFonts w:ascii="Times New Roman" w:hAnsi="Times New Roman" w:cs="Times New Roman"/>
                <w:sz w:val="24"/>
                <w:szCs w:val="24"/>
              </w:rPr>
              <w:t>mbrojtja</w:t>
            </w:r>
            <w:r w:rsidRPr="000D3717">
              <w:rPr>
                <w:rFonts w:ascii="Times New Roman" w:hAnsi="Times New Roman" w:cs="Times New Roman"/>
                <w:sz w:val="24"/>
                <w:szCs w:val="24"/>
              </w:rPr>
              <w:t xml:space="preserve"> gjyqësore) në të drejtën e konkurrencës duhet të definohet si ‘</w:t>
            </w:r>
            <w:proofErr w:type="spellStart"/>
            <w:r w:rsidRPr="000D3717">
              <w:rPr>
                <w:rFonts w:ascii="Times New Roman" w:hAnsi="Times New Roman" w:cs="Times New Roman"/>
                <w:sz w:val="24"/>
                <w:szCs w:val="24"/>
              </w:rPr>
              <w:t>court</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review</w:t>
            </w:r>
            <w:proofErr w:type="spellEnd"/>
            <w:r w:rsidRPr="000D3717">
              <w:rPr>
                <w:rFonts w:ascii="Times New Roman" w:hAnsi="Times New Roman" w:cs="Times New Roman"/>
                <w:sz w:val="24"/>
                <w:szCs w:val="24"/>
              </w:rPr>
              <w:t xml:space="preserve">’ (shqyrtimi gjyqësor) </w:t>
            </w:r>
            <w:r w:rsidR="00213765">
              <w:rPr>
                <w:rFonts w:ascii="Times New Roman" w:hAnsi="Times New Roman" w:cs="Times New Roman"/>
                <w:sz w:val="24"/>
                <w:szCs w:val="24"/>
              </w:rPr>
              <w:t>.</w:t>
            </w:r>
          </w:p>
          <w:p w14:paraId="2D806FA9" w14:textId="77777777" w:rsidR="00AD2245" w:rsidRDefault="00AD2245" w:rsidP="00FC7007">
            <w:pPr>
              <w:jc w:val="both"/>
              <w:rPr>
                <w:rFonts w:ascii="Times New Roman" w:hAnsi="Times New Roman" w:cs="Times New Roman"/>
                <w:sz w:val="24"/>
                <w:szCs w:val="24"/>
              </w:rPr>
            </w:pPr>
          </w:p>
          <w:p w14:paraId="33485FB7" w14:textId="4FF9DBBE" w:rsidR="00AB02A7" w:rsidRDefault="00AB02A7" w:rsidP="00FC7007">
            <w:pPr>
              <w:jc w:val="both"/>
              <w:rPr>
                <w:rFonts w:ascii="Times New Roman" w:hAnsi="Times New Roman" w:cs="Times New Roman"/>
                <w:sz w:val="24"/>
                <w:szCs w:val="24"/>
              </w:rPr>
            </w:pPr>
            <w:r w:rsidRPr="000D3717">
              <w:rPr>
                <w:rFonts w:ascii="Times New Roman" w:hAnsi="Times New Roman" w:cs="Times New Roman"/>
                <w:sz w:val="24"/>
                <w:szCs w:val="24"/>
              </w:rPr>
              <w:t>•</w:t>
            </w:r>
            <w:r>
              <w:rPr>
                <w:rFonts w:ascii="Times New Roman" w:hAnsi="Times New Roman" w:cs="Times New Roman"/>
                <w:sz w:val="24"/>
                <w:szCs w:val="24"/>
              </w:rPr>
              <w:t xml:space="preserve"> Termi “Veprimtari ekonomike” duhet</w:t>
            </w:r>
            <w:r w:rsidR="008753CB">
              <w:rPr>
                <w:rFonts w:ascii="Times New Roman" w:hAnsi="Times New Roman" w:cs="Times New Roman"/>
                <w:sz w:val="24"/>
                <w:szCs w:val="24"/>
              </w:rPr>
              <w:t xml:space="preserve"> të </w:t>
            </w:r>
            <w:r>
              <w:rPr>
                <w:rFonts w:ascii="Times New Roman" w:hAnsi="Times New Roman" w:cs="Times New Roman"/>
                <w:sz w:val="24"/>
                <w:szCs w:val="24"/>
              </w:rPr>
              <w:t xml:space="preserve">definohet: është veprimtari prodhuese, tregtare, financiare, ose profesionale, qe shoqërohet me blerjen dhe shitjen e mallrave dhe/ose me ofrimin apo përfitimin e shërbimeve. </w:t>
            </w:r>
          </w:p>
          <w:p w14:paraId="7A8CC798" w14:textId="77777777" w:rsidR="0024523A" w:rsidRPr="000D3717" w:rsidRDefault="0024523A" w:rsidP="00FC7007">
            <w:pPr>
              <w:jc w:val="both"/>
              <w:rPr>
                <w:rFonts w:ascii="Times New Roman" w:hAnsi="Times New Roman" w:cs="Times New Roman"/>
                <w:sz w:val="24"/>
                <w:szCs w:val="24"/>
              </w:rPr>
            </w:pPr>
          </w:p>
          <w:p w14:paraId="05D20370" w14:textId="77777777" w:rsidR="0024523A" w:rsidRPr="000D3717" w:rsidRDefault="0024523A" w:rsidP="0024523A">
            <w:pPr>
              <w:jc w:val="both"/>
              <w:rPr>
                <w:rFonts w:ascii="Times New Roman" w:hAnsi="Times New Roman" w:cs="Times New Roman"/>
                <w:sz w:val="24"/>
                <w:szCs w:val="24"/>
              </w:rPr>
            </w:pPr>
            <w:r w:rsidRPr="000D3717">
              <w:rPr>
                <w:rFonts w:ascii="Times New Roman" w:hAnsi="Times New Roman" w:cs="Times New Roman"/>
                <w:sz w:val="24"/>
                <w:szCs w:val="24"/>
              </w:rPr>
              <w:t>-Në paragrafin 1.1, termi joreal duhet të zëvendësohet me çmim të padrejtë për të qenë në përputhje me nenin 102 TFEU. Nuk është e qartë se çfarë është çmimi joreal .</w:t>
            </w:r>
          </w:p>
          <w:p w14:paraId="64DAA4D8" w14:textId="77777777" w:rsidR="0024523A" w:rsidRDefault="0024523A" w:rsidP="0024523A">
            <w:pPr>
              <w:jc w:val="both"/>
              <w:rPr>
                <w:rFonts w:ascii="Times New Roman" w:hAnsi="Times New Roman" w:cs="Times New Roman"/>
                <w:sz w:val="24"/>
                <w:szCs w:val="24"/>
              </w:rPr>
            </w:pPr>
            <w:r w:rsidRPr="000D3717">
              <w:rPr>
                <w:rFonts w:ascii="Times New Roman" w:hAnsi="Times New Roman" w:cs="Times New Roman"/>
                <w:sz w:val="24"/>
                <w:szCs w:val="24"/>
              </w:rPr>
              <w:t>-Në paragrafin 1.4. Pjesa e fundit e kësaj dispozite siç është në nenin 102 të TFBE mungon: detyrim</w:t>
            </w:r>
            <w:r w:rsidR="00213765">
              <w:rPr>
                <w:rFonts w:ascii="Times New Roman" w:hAnsi="Times New Roman" w:cs="Times New Roman"/>
                <w:sz w:val="24"/>
                <w:szCs w:val="24"/>
              </w:rPr>
              <w:t>i</w:t>
            </w:r>
            <w:r w:rsidRPr="000D3717">
              <w:rPr>
                <w:rFonts w:ascii="Times New Roman" w:hAnsi="Times New Roman" w:cs="Times New Roman"/>
                <w:sz w:val="24"/>
                <w:szCs w:val="24"/>
              </w:rPr>
              <w:t xml:space="preserve"> shtesë që, sipas natyrës së tyre ose sipas përdorimit tregtar, nuk kanë lidhje me subjektin e këtyre kontratave. </w:t>
            </w:r>
          </w:p>
          <w:p w14:paraId="32F2E569" w14:textId="77777777" w:rsidR="00AB02A7" w:rsidRDefault="00AB02A7" w:rsidP="0024523A">
            <w:pPr>
              <w:jc w:val="both"/>
              <w:rPr>
                <w:rFonts w:ascii="Times New Roman" w:hAnsi="Times New Roman" w:cs="Times New Roman"/>
                <w:sz w:val="24"/>
                <w:szCs w:val="24"/>
              </w:rPr>
            </w:pPr>
          </w:p>
          <w:p w14:paraId="2B57B90C" w14:textId="417DD55D" w:rsidR="0024523A" w:rsidRPr="000D3717" w:rsidRDefault="00AB02A7" w:rsidP="0024523A">
            <w:pPr>
              <w:jc w:val="both"/>
              <w:rPr>
                <w:rFonts w:ascii="Times New Roman" w:hAnsi="Times New Roman" w:cs="Times New Roman"/>
                <w:sz w:val="24"/>
                <w:szCs w:val="24"/>
              </w:rPr>
            </w:pPr>
            <w:r>
              <w:rPr>
                <w:rFonts w:ascii="Times New Roman" w:hAnsi="Times New Roman" w:cs="Times New Roman"/>
                <w:sz w:val="24"/>
                <w:szCs w:val="24"/>
              </w:rPr>
              <w:t>Duhet</w:t>
            </w:r>
            <w:r w:rsidR="008753CB">
              <w:rPr>
                <w:rFonts w:ascii="Times New Roman" w:hAnsi="Times New Roman" w:cs="Times New Roman"/>
                <w:sz w:val="24"/>
                <w:szCs w:val="24"/>
              </w:rPr>
              <w:t xml:space="preserve"> të </w:t>
            </w:r>
            <w:r>
              <w:rPr>
                <w:rFonts w:ascii="Times New Roman" w:hAnsi="Times New Roman" w:cs="Times New Roman"/>
                <w:sz w:val="24"/>
                <w:szCs w:val="24"/>
              </w:rPr>
              <w:t>ketë një nen</w:t>
            </w:r>
            <w:r w:rsidR="008753CB">
              <w:rPr>
                <w:rFonts w:ascii="Times New Roman" w:hAnsi="Times New Roman" w:cs="Times New Roman"/>
                <w:sz w:val="24"/>
                <w:szCs w:val="24"/>
              </w:rPr>
              <w:t xml:space="preserve"> të </w:t>
            </w:r>
            <w:r>
              <w:rPr>
                <w:rFonts w:ascii="Times New Roman" w:hAnsi="Times New Roman" w:cs="Times New Roman"/>
                <w:sz w:val="24"/>
                <w:szCs w:val="24"/>
              </w:rPr>
              <w:t xml:space="preserve">veçantë i cili e përcakton kuptimin e termit “ndërmarrje”.  Rekomandohet ky përkufizim: “Ndërmerrje” – është çdo person fizik ose juridik, privat a publik, qe kryen veprimtari ekonomike. Si ndërmarrje konsiderohen edhe organet e administratës qendrore e vendore, si dhe entet ose institucionet publike, kur kryejnë veprimtari ekonomike. </w:t>
            </w:r>
          </w:p>
          <w:p w14:paraId="5F62DB46" w14:textId="77777777" w:rsidR="0024523A" w:rsidRPr="000D3717" w:rsidRDefault="0024523A" w:rsidP="0024523A">
            <w:pPr>
              <w:jc w:val="both"/>
              <w:rPr>
                <w:rFonts w:ascii="Times New Roman" w:hAnsi="Times New Roman" w:cs="Times New Roman"/>
                <w:sz w:val="24"/>
                <w:szCs w:val="24"/>
              </w:rPr>
            </w:pPr>
            <w:r w:rsidRPr="000D3717">
              <w:rPr>
                <w:rFonts w:ascii="Times New Roman" w:hAnsi="Times New Roman" w:cs="Times New Roman"/>
                <w:sz w:val="24"/>
                <w:szCs w:val="24"/>
              </w:rPr>
              <w:t xml:space="preserve">Neni 13 i Ligjit të Konkurrencës ka të bëjë me përkufizimin e </w:t>
            </w:r>
            <w:r w:rsidRPr="000D3717">
              <w:rPr>
                <w:rFonts w:ascii="Times New Roman" w:hAnsi="Times New Roman" w:cs="Times New Roman"/>
                <w:sz w:val="24"/>
                <w:szCs w:val="24"/>
              </w:rPr>
              <w:lastRenderedPageBreak/>
              <w:t xml:space="preserve">përqendrimeve. Në pjesën më të madhe ky artikull është në përputhje me </w:t>
            </w:r>
            <w:proofErr w:type="spellStart"/>
            <w:r w:rsidRPr="000D3717">
              <w:rPr>
                <w:rFonts w:ascii="Times New Roman" w:hAnsi="Times New Roman" w:cs="Times New Roman"/>
                <w:sz w:val="24"/>
                <w:szCs w:val="24"/>
              </w:rPr>
              <w:t>acquis</w:t>
            </w:r>
            <w:proofErr w:type="spellEnd"/>
            <w:r w:rsidRPr="000D3717">
              <w:rPr>
                <w:rFonts w:ascii="Times New Roman" w:hAnsi="Times New Roman" w:cs="Times New Roman"/>
                <w:sz w:val="24"/>
                <w:szCs w:val="24"/>
              </w:rPr>
              <w:t xml:space="preserve"> të BE-së (Rregullorja e Bashkimeve), por:</w:t>
            </w:r>
          </w:p>
          <w:p w14:paraId="6E82E511" w14:textId="77777777" w:rsidR="0024523A" w:rsidRPr="000D3717" w:rsidRDefault="0024523A" w:rsidP="0024523A">
            <w:pPr>
              <w:jc w:val="both"/>
              <w:rPr>
                <w:rFonts w:ascii="Times New Roman" w:hAnsi="Times New Roman" w:cs="Times New Roman"/>
                <w:sz w:val="24"/>
                <w:szCs w:val="24"/>
              </w:rPr>
            </w:pPr>
            <w:r w:rsidRPr="000D3717">
              <w:rPr>
                <w:rFonts w:ascii="Times New Roman" w:hAnsi="Times New Roman" w:cs="Times New Roman"/>
                <w:sz w:val="24"/>
                <w:szCs w:val="24"/>
              </w:rPr>
              <w:t>-Në paragrafin e parë ajo duhet t'i referohet ndryshimit të kontrollit në një bazë të qëndrueshme dhe jo vetëm të kontrollit.</w:t>
            </w:r>
          </w:p>
          <w:p w14:paraId="2E9AB8CF" w14:textId="77777777" w:rsidR="00695548" w:rsidRPr="000D3717" w:rsidRDefault="0024523A" w:rsidP="0024523A">
            <w:pPr>
              <w:jc w:val="both"/>
              <w:rPr>
                <w:rFonts w:ascii="Times New Roman" w:hAnsi="Times New Roman" w:cs="Times New Roman"/>
                <w:sz w:val="24"/>
                <w:szCs w:val="24"/>
              </w:rPr>
            </w:pPr>
            <w:r w:rsidRPr="000D3717">
              <w:rPr>
                <w:rFonts w:ascii="Times New Roman" w:hAnsi="Times New Roman" w:cs="Times New Roman"/>
                <w:sz w:val="24"/>
                <w:szCs w:val="24"/>
              </w:rPr>
              <w:t>-Paragrafi 1.2. dhe paragrafi 2 i referohen ndikimit në pozitën dominuese, nuk është e qartë nëse kjo përfshin ndikimin vendimtar të një ose më shumë ndërmarrjeve që është pjesë e përcaktimit të përqendrimit sipas ligjit të BE-së.</w:t>
            </w:r>
          </w:p>
        </w:tc>
      </w:tr>
    </w:tbl>
    <w:p w14:paraId="14C15F73"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62A649A5" w14:textId="77777777" w:rsidTr="00D30A45">
        <w:tc>
          <w:tcPr>
            <w:tcW w:w="3192" w:type="dxa"/>
          </w:tcPr>
          <w:p w14:paraId="59776DE8"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55C04C49" w14:textId="77777777" w:rsidR="009C04A3" w:rsidRPr="000D3717" w:rsidRDefault="009C04A3" w:rsidP="009C04A3">
            <w:pPr>
              <w:rPr>
                <w:rFonts w:ascii="Times New Roman" w:hAnsi="Times New Roman" w:cs="Times New Roman"/>
                <w:sz w:val="24"/>
                <w:szCs w:val="24"/>
              </w:rPr>
            </w:pPr>
            <w:r w:rsidRPr="000D3717">
              <w:rPr>
                <w:rFonts w:ascii="Times New Roman" w:hAnsi="Times New Roman" w:cs="Times New Roman"/>
                <w:sz w:val="24"/>
                <w:szCs w:val="24"/>
              </w:rPr>
              <w:t xml:space="preserve">Neni 3 i Ligjit të Konkurrencës mbi Përkufizimet dhe </w:t>
            </w:r>
            <w:r w:rsidR="00213765">
              <w:rPr>
                <w:rFonts w:ascii="Times New Roman" w:hAnsi="Times New Roman" w:cs="Times New Roman"/>
                <w:sz w:val="24"/>
                <w:szCs w:val="24"/>
              </w:rPr>
              <w:t>n</w:t>
            </w:r>
            <w:r w:rsidRPr="000D3717">
              <w:rPr>
                <w:rFonts w:ascii="Times New Roman" w:hAnsi="Times New Roman" w:cs="Times New Roman"/>
                <w:sz w:val="24"/>
                <w:szCs w:val="24"/>
              </w:rPr>
              <w:t xml:space="preserve">eni </w:t>
            </w:r>
            <w:r w:rsidR="00213765">
              <w:rPr>
                <w:rFonts w:ascii="Times New Roman" w:hAnsi="Times New Roman" w:cs="Times New Roman"/>
                <w:sz w:val="24"/>
                <w:szCs w:val="24"/>
              </w:rPr>
              <w:t xml:space="preserve"> </w:t>
            </w:r>
            <w:r w:rsidRPr="000D3717">
              <w:rPr>
                <w:rFonts w:ascii="Times New Roman" w:hAnsi="Times New Roman" w:cs="Times New Roman"/>
                <w:sz w:val="24"/>
                <w:szCs w:val="24"/>
              </w:rPr>
              <w:t>2 të ligjit të ndryshuar të Konkurrencës nuk përmbajnë përkufizimin e termit ndërmarrje siç përcaktohet me legjislacionin</w:t>
            </w:r>
            <w:r w:rsidR="00213765">
              <w:rPr>
                <w:rFonts w:ascii="Times New Roman" w:hAnsi="Times New Roman" w:cs="Times New Roman"/>
                <w:sz w:val="24"/>
                <w:szCs w:val="24"/>
              </w:rPr>
              <w:t xml:space="preserve"> </w:t>
            </w:r>
            <w:r w:rsidRPr="000D3717">
              <w:rPr>
                <w:rFonts w:ascii="Times New Roman" w:hAnsi="Times New Roman" w:cs="Times New Roman"/>
                <w:sz w:val="24"/>
                <w:szCs w:val="24"/>
              </w:rPr>
              <w:t>t</w:t>
            </w:r>
            <w:r w:rsidR="00213765">
              <w:rPr>
                <w:rFonts w:ascii="Times New Roman" w:hAnsi="Times New Roman" w:cs="Times New Roman"/>
                <w:sz w:val="24"/>
                <w:szCs w:val="24"/>
              </w:rPr>
              <w:t>ë</w:t>
            </w:r>
            <w:r w:rsidRPr="000D3717">
              <w:rPr>
                <w:rFonts w:ascii="Times New Roman" w:hAnsi="Times New Roman" w:cs="Times New Roman"/>
                <w:sz w:val="24"/>
                <w:szCs w:val="24"/>
              </w:rPr>
              <w:t xml:space="preserve"> BE-së për konkurrencën. </w:t>
            </w:r>
          </w:p>
          <w:p w14:paraId="4D3B7D5C" w14:textId="77777777" w:rsidR="009C04A3" w:rsidRPr="000D3717" w:rsidRDefault="009C04A3" w:rsidP="009C04A3">
            <w:pPr>
              <w:rPr>
                <w:rFonts w:ascii="Times New Roman" w:hAnsi="Times New Roman" w:cs="Times New Roman"/>
                <w:sz w:val="24"/>
                <w:szCs w:val="24"/>
              </w:rPr>
            </w:pPr>
            <w:r w:rsidRPr="000D3717">
              <w:rPr>
                <w:rFonts w:ascii="Times New Roman" w:hAnsi="Times New Roman" w:cs="Times New Roman"/>
                <w:sz w:val="24"/>
                <w:szCs w:val="24"/>
              </w:rPr>
              <w:t>-Jurisprudenca e Gjykatës së Drejtësisë të BE-së ka definuar termin ndërmarrje. Për më tepër, neni 106, paragrafi 1 dhe paragrafi 2 i TFBE përcaktojnë ndërmarrjet publike dhe ndërmarrjet të cilat janë të ngarkuara me funksionimin e shërbimeve me interes të përgjithshëm ekonomik. Këto dy përkufizime mungojnë në nenin 3 të ligjit të konkurrencës.</w:t>
            </w:r>
          </w:p>
          <w:p w14:paraId="7E452163" w14:textId="77777777" w:rsidR="009C04A3" w:rsidRPr="000D3717" w:rsidRDefault="009C04A3" w:rsidP="009C04A3">
            <w:pPr>
              <w:rPr>
                <w:rFonts w:ascii="Times New Roman" w:hAnsi="Times New Roman" w:cs="Times New Roman"/>
                <w:sz w:val="24"/>
                <w:szCs w:val="24"/>
              </w:rPr>
            </w:pPr>
            <w:r w:rsidRPr="000D3717">
              <w:rPr>
                <w:rFonts w:ascii="Times New Roman" w:hAnsi="Times New Roman" w:cs="Times New Roman"/>
                <w:sz w:val="24"/>
                <w:szCs w:val="24"/>
              </w:rPr>
              <w:t xml:space="preserve">-Nuk ka përcaktim të ndërmarrjes të kontrolluar nga një ndërmarrje tjetër e cila është e rëndësishme si në kontekstin e kontrollit të bashkimit dhe në vlerësimin e marrëveshjeve. Ndërmarrja e kontrolluar nga një ndërmarrje tjetër zakonisht përkufizohet si një ndërmarrje në të cilën kjo e fundit drejtpërdrejt ose tërthorazi mban më shumë se gjysmën e kapitalit aksionar ose gjysmë aksionet ose mund të ushtrojë më shumë se gjysmën e të drejtave të votës ose ka të drejtë të emërojë më shumë se gjysmën e anëtarëve të bordit drejtues, komitetit mbikëqyrës ose organit të ngjashëm administrativ apo </w:t>
            </w:r>
            <w:proofErr w:type="spellStart"/>
            <w:r w:rsidRPr="000D3717">
              <w:rPr>
                <w:rFonts w:ascii="Times New Roman" w:hAnsi="Times New Roman" w:cs="Times New Roman"/>
                <w:sz w:val="24"/>
                <w:szCs w:val="24"/>
              </w:rPr>
              <w:t>menaxhues</w:t>
            </w:r>
            <w:proofErr w:type="spellEnd"/>
            <w:r w:rsidRPr="000D3717">
              <w:rPr>
                <w:rFonts w:ascii="Times New Roman" w:hAnsi="Times New Roman" w:cs="Times New Roman"/>
                <w:sz w:val="24"/>
                <w:szCs w:val="24"/>
              </w:rPr>
              <w:t xml:space="preserve"> ose në një mënyrë tjetër ushtron një ndikim vendimtar mbi të drejtën për të menaxhuar veprimtarinë ekonomike të ndërmarrjes.</w:t>
            </w:r>
          </w:p>
          <w:p w14:paraId="3D1ED38B" w14:textId="77777777" w:rsidR="00695548" w:rsidRPr="000D3717" w:rsidRDefault="009C04A3" w:rsidP="009C04A3">
            <w:pPr>
              <w:jc w:val="both"/>
              <w:rPr>
                <w:rFonts w:ascii="Times New Roman" w:hAnsi="Times New Roman" w:cs="Times New Roman"/>
                <w:sz w:val="24"/>
                <w:szCs w:val="24"/>
              </w:rPr>
            </w:pPr>
            <w:r w:rsidRPr="000D3717">
              <w:rPr>
                <w:rFonts w:ascii="Times New Roman" w:hAnsi="Times New Roman" w:cs="Times New Roman"/>
                <w:sz w:val="24"/>
                <w:szCs w:val="24"/>
              </w:rPr>
              <w:t xml:space="preserve">-Gjithashtu, </w:t>
            </w:r>
            <w:proofErr w:type="spellStart"/>
            <w:r w:rsidRPr="000D3717">
              <w:rPr>
                <w:rFonts w:ascii="Times New Roman" w:hAnsi="Times New Roman" w:cs="Times New Roman"/>
                <w:sz w:val="24"/>
                <w:szCs w:val="24"/>
              </w:rPr>
              <w:t>definimi</w:t>
            </w:r>
            <w:proofErr w:type="spellEnd"/>
            <w:r w:rsidRPr="000D3717">
              <w:rPr>
                <w:rFonts w:ascii="Times New Roman" w:hAnsi="Times New Roman" w:cs="Times New Roman"/>
                <w:sz w:val="24"/>
                <w:szCs w:val="24"/>
              </w:rPr>
              <w:t xml:space="preserve"> i një tregu relevant, i cili është vendimtar në rastet e të drejtës së konkurrencës, duhet të jetë më i përafruar me legjislacionin përkatës të BE-së - Njoftimin e Komisionit mbi përcaktimin e tregut relevant për qëllimet e ligjit të konkurrencës së Komunitetit. </w:t>
            </w:r>
          </w:p>
        </w:tc>
      </w:tr>
      <w:tr w:rsidR="00695548" w:rsidRPr="000D3717" w14:paraId="117936A7" w14:textId="77777777" w:rsidTr="00D30A45">
        <w:tc>
          <w:tcPr>
            <w:tcW w:w="3192" w:type="dxa"/>
          </w:tcPr>
          <w:p w14:paraId="20642A17"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3DAF8474" w14:textId="77777777" w:rsidR="00695548" w:rsidRPr="000D3717" w:rsidRDefault="009C04A3"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Përkufizimi nga Njoftimi i BE-së përcakton tregun përkatës të produktit si: "treg që përfshin të gjitha ato produkte dhe / ose shërbime të cilat konsiderohen si të këmbyeshme ose të zëvendësueshme nga konsumatori, për shkak të karakteristikave të produkteve, çmimeve të tyre dhe përdorimit të tyre të synuar " dhe tregun gjeografik përkatës si: treg që përfshin zonën në të cilën ndërmarrjet në fjalë janë të përfshira në ofertën dhe kërkesën e produkteve ose shërbimeve, në të cilat kushtet e konkurrencës janë mjaft homogjene dhe që mund të dallohen </w:t>
            </w:r>
            <w:r w:rsidRPr="000D3717">
              <w:rPr>
                <w:rFonts w:ascii="Times New Roman" w:hAnsi="Times New Roman" w:cs="Times New Roman"/>
                <w:sz w:val="24"/>
                <w:szCs w:val="24"/>
              </w:rPr>
              <w:lastRenderedPageBreak/>
              <w:t>nga zonat fqinje sepse kushtet e konkurrencës janë dukshëm të ndryshme në ato zona'.</w:t>
            </w:r>
          </w:p>
        </w:tc>
      </w:tr>
    </w:tbl>
    <w:p w14:paraId="72325658"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697DCAD4" w14:textId="77777777" w:rsidTr="00D30A45">
        <w:tc>
          <w:tcPr>
            <w:tcW w:w="3192" w:type="dxa"/>
          </w:tcPr>
          <w:p w14:paraId="10275838"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507025B3" w14:textId="77777777" w:rsidR="00D73955" w:rsidRPr="000D3717" w:rsidRDefault="00D73955" w:rsidP="00D73955">
            <w:pPr>
              <w:rPr>
                <w:rFonts w:ascii="Times New Roman" w:hAnsi="Times New Roman" w:cs="Times New Roman"/>
                <w:sz w:val="24"/>
                <w:szCs w:val="24"/>
              </w:rPr>
            </w:pPr>
            <w:r w:rsidRPr="000D3717">
              <w:rPr>
                <w:rFonts w:ascii="Times New Roman" w:hAnsi="Times New Roman" w:cs="Times New Roman"/>
                <w:sz w:val="24"/>
                <w:szCs w:val="24"/>
              </w:rPr>
              <w:t xml:space="preserve">Neni 4 i Ligjit të Konkurrencës korrespondon me nenin 101, paragrafi 1 të TFEU. Megjithatë, këtu mungon referenca e saktë nga neni 101, paragrafi 3) TFEU. </w:t>
            </w:r>
          </w:p>
          <w:p w14:paraId="79631732" w14:textId="77777777" w:rsidR="00695548" w:rsidRPr="000D3717" w:rsidRDefault="00D73955" w:rsidP="00D73955">
            <w:pPr>
              <w:jc w:val="both"/>
              <w:rPr>
                <w:rFonts w:ascii="Times New Roman" w:hAnsi="Times New Roman" w:cs="Times New Roman"/>
                <w:sz w:val="24"/>
                <w:szCs w:val="24"/>
              </w:rPr>
            </w:pPr>
            <w:r w:rsidRPr="000D3717">
              <w:rPr>
                <w:rFonts w:ascii="Times New Roman" w:hAnsi="Times New Roman" w:cs="Times New Roman"/>
                <w:sz w:val="24"/>
                <w:szCs w:val="24"/>
              </w:rPr>
              <w:t xml:space="preserve">- Neni 101, paragrafi 3) TFEU përcakton katër kushte kryesore që duhet të përmbushen në mënyrë që marrëveshja të shmang zbatimin e paragrafit 1 mbi marrëveshjet e ndaluara. Këto kushte përfshijnë: marrëveshja në fjalë kontribuon në përmirësimin e prodhimit ose shpërndarjes së mallrave ose në promovimin e progresit teknik ose ekonomik, duke i lejuar konsumatorët një pjesë të drejtë të përfitimit që rezulton dhe marrëveshja nuk i imponon ndërmarrjeve të përfshira kufizime të cilat nuk janë </w:t>
            </w:r>
            <w:r w:rsidR="00C66B3A">
              <w:rPr>
                <w:rFonts w:ascii="Times New Roman" w:hAnsi="Times New Roman" w:cs="Times New Roman"/>
                <w:sz w:val="24"/>
                <w:szCs w:val="24"/>
              </w:rPr>
              <w:t>të</w:t>
            </w:r>
            <w:r w:rsidRPr="000D3717">
              <w:rPr>
                <w:rFonts w:ascii="Times New Roman" w:hAnsi="Times New Roman" w:cs="Times New Roman"/>
                <w:sz w:val="24"/>
                <w:szCs w:val="24"/>
              </w:rPr>
              <w:t xml:space="preserve"> domosdoshme për arritjen e këtyre objektivave,  dhe nuk i lejojnë ndërmarrjeve të tilla mundësinë e eliminimit konkurrencë në lidhje me një pjesë të konsiderueshme të produkteve në fjalë. </w:t>
            </w:r>
          </w:p>
        </w:tc>
      </w:tr>
      <w:tr w:rsidR="00695548" w:rsidRPr="000D3717" w14:paraId="365F8CFE" w14:textId="77777777" w:rsidTr="00D30A45">
        <w:tc>
          <w:tcPr>
            <w:tcW w:w="3192" w:type="dxa"/>
          </w:tcPr>
          <w:p w14:paraId="19DB15FD"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04E73EC4" w14:textId="77777777" w:rsidR="00695548" w:rsidRPr="000D3717" w:rsidRDefault="00D73955"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Disa nga këto elemente janë inkorporuar në dispozita të mëtejshme për marrëveshjet e Ligjit të Konkurrencës, megjithatë për këtë dispozitë të jetë plotësisht në përputhje me Nenin 101 TFEU dhe për qartësinë e kësaj dispozite, sugjerohet të shtohet një paragraf tjetër që korrespondon me nenin 101 paragrafi 3) TFEU. </w:t>
            </w:r>
          </w:p>
        </w:tc>
      </w:tr>
    </w:tbl>
    <w:p w14:paraId="0AB0B110"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2D8AB931" w14:textId="77777777" w:rsidTr="00D30A45">
        <w:tc>
          <w:tcPr>
            <w:tcW w:w="3192" w:type="dxa"/>
          </w:tcPr>
          <w:p w14:paraId="37855C8C"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123C475F" w14:textId="77777777" w:rsidR="00695548" w:rsidRPr="000D3717" w:rsidRDefault="00ED194C"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Neni 8 i </w:t>
            </w:r>
            <w:r w:rsidR="00BB2D6C" w:rsidRPr="000D3717">
              <w:rPr>
                <w:rFonts w:ascii="Times New Roman" w:hAnsi="Times New Roman" w:cs="Times New Roman"/>
                <w:sz w:val="24"/>
                <w:szCs w:val="24"/>
              </w:rPr>
              <w:t>Ligjit me Nr. 03/L-229 për Mbrojtjen e Konkurrencës</w:t>
            </w:r>
            <w:r w:rsidR="00BB2D6C" w:rsidRPr="000D3717" w:rsidDel="00BB2D6C">
              <w:rPr>
                <w:rFonts w:ascii="Times New Roman" w:hAnsi="Times New Roman" w:cs="Times New Roman"/>
                <w:sz w:val="24"/>
                <w:szCs w:val="24"/>
              </w:rPr>
              <w:t xml:space="preserve"> </w:t>
            </w:r>
            <w:r w:rsidRPr="000D3717">
              <w:rPr>
                <w:rFonts w:ascii="Times New Roman" w:hAnsi="Times New Roman" w:cs="Times New Roman"/>
                <w:sz w:val="24"/>
                <w:szCs w:val="24"/>
              </w:rPr>
              <w:t xml:space="preserve"> rregullon marrëveshjet me vlerë të vogël (marrëveshje me rëndësi të vogël). Megjithëse definon marrëveshjet me vlerë të vogël, ekziston një hendek i identifikuar dhe kjo ka të bëjë me mungesën e dispozitave që theksojnë se këto marrëveshje nuk duhet të përmbajnë kufizime thelbësore të konkurrencës që, pavarësisht nga pjesa e parëndësishme e tregut të palëve në marrëveshje mund të rezultojë në kufizimin e konkurrencës.</w:t>
            </w:r>
          </w:p>
        </w:tc>
      </w:tr>
      <w:tr w:rsidR="00695548" w:rsidRPr="000D3717" w14:paraId="475805AD" w14:textId="77777777" w:rsidTr="00D30A45">
        <w:tc>
          <w:tcPr>
            <w:tcW w:w="3192" w:type="dxa"/>
          </w:tcPr>
          <w:p w14:paraId="3DEF50B0"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20F73925" w14:textId="77777777" w:rsidR="00695548" w:rsidRPr="000D3717" w:rsidRDefault="00ED194C"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Sipas Njoftimit të BE-së për marrëveshjet me rëndësi të vogël që nuk kufizojnë ndjeshëm konkurrencën sipas </w:t>
            </w:r>
            <w:r w:rsidR="00C66B3A">
              <w:rPr>
                <w:rFonts w:ascii="Times New Roman" w:hAnsi="Times New Roman" w:cs="Times New Roman"/>
                <w:sz w:val="24"/>
                <w:szCs w:val="24"/>
              </w:rPr>
              <w:t>n</w:t>
            </w:r>
            <w:r w:rsidRPr="000D3717">
              <w:rPr>
                <w:rFonts w:ascii="Times New Roman" w:hAnsi="Times New Roman" w:cs="Times New Roman"/>
                <w:sz w:val="24"/>
                <w:szCs w:val="24"/>
              </w:rPr>
              <w:t xml:space="preserve">enit 101 TFEU (De </w:t>
            </w:r>
            <w:proofErr w:type="spellStart"/>
            <w:r w:rsidRPr="000D3717">
              <w:rPr>
                <w:rFonts w:ascii="Times New Roman" w:hAnsi="Times New Roman" w:cs="Times New Roman"/>
                <w:sz w:val="24"/>
                <w:szCs w:val="24"/>
              </w:rPr>
              <w:t>Minimis</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Notice</w:t>
            </w:r>
            <w:proofErr w:type="spellEnd"/>
            <w:r w:rsidRPr="000D3717">
              <w:rPr>
                <w:rFonts w:ascii="Times New Roman" w:hAnsi="Times New Roman" w:cs="Times New Roman"/>
                <w:sz w:val="24"/>
                <w:szCs w:val="24"/>
              </w:rPr>
              <w:t xml:space="preserve">), marrëveshjet e tilla duhet të konsiderohen si marrëveshje të ndaluara. Paragrafi 13 i Njoftimit De </w:t>
            </w:r>
            <w:proofErr w:type="spellStart"/>
            <w:r w:rsidRPr="000D3717">
              <w:rPr>
                <w:rFonts w:ascii="Times New Roman" w:hAnsi="Times New Roman" w:cs="Times New Roman"/>
                <w:sz w:val="24"/>
                <w:szCs w:val="24"/>
              </w:rPr>
              <w:t>Minimis</w:t>
            </w:r>
            <w:proofErr w:type="spellEnd"/>
            <w:r w:rsidRPr="000D3717">
              <w:rPr>
                <w:rFonts w:ascii="Times New Roman" w:hAnsi="Times New Roman" w:cs="Times New Roman"/>
                <w:sz w:val="24"/>
                <w:szCs w:val="24"/>
              </w:rPr>
              <w:t xml:space="preserve"> thekson se Komisioni nuk do të zbatojë portin e sigurt të krijuar nga ato pragje të tregut për marrëveshjet që përmbajnë ndonjë nga kufizimet të cilat janë të renditura si kufizime të ashpra dhe të cilat konsiderohen nga Komisioni në përgjithësi përbëjnë kufizim nga objekti. Meqenëse</w:t>
            </w:r>
            <w:r w:rsidR="00C66B3A">
              <w:rPr>
                <w:rFonts w:ascii="Times New Roman" w:hAnsi="Times New Roman" w:cs="Times New Roman"/>
                <w:sz w:val="24"/>
                <w:szCs w:val="24"/>
              </w:rPr>
              <w:t>,</w:t>
            </w:r>
            <w:r w:rsidRPr="000D3717">
              <w:rPr>
                <w:rFonts w:ascii="Times New Roman" w:hAnsi="Times New Roman" w:cs="Times New Roman"/>
                <w:sz w:val="24"/>
                <w:szCs w:val="24"/>
              </w:rPr>
              <w:t xml:space="preserve"> kjo është një pikë shumë e rëndësishme për marrëveshjet e de </w:t>
            </w:r>
            <w:proofErr w:type="spellStart"/>
            <w:r w:rsidRPr="000D3717">
              <w:rPr>
                <w:rFonts w:ascii="Times New Roman" w:hAnsi="Times New Roman" w:cs="Times New Roman"/>
                <w:sz w:val="24"/>
                <w:szCs w:val="24"/>
              </w:rPr>
              <w:t>minis</w:t>
            </w:r>
            <w:proofErr w:type="spellEnd"/>
            <w:r w:rsidRPr="000D3717">
              <w:rPr>
                <w:rFonts w:ascii="Times New Roman" w:hAnsi="Times New Roman" w:cs="Times New Roman"/>
                <w:sz w:val="24"/>
                <w:szCs w:val="24"/>
              </w:rPr>
              <w:t xml:space="preserve">, do të ishte e dobishme që kjo dispozitë të jetë e qartë në </w:t>
            </w:r>
            <w:r w:rsidR="00C66B3A">
              <w:rPr>
                <w:rFonts w:ascii="Times New Roman" w:hAnsi="Times New Roman" w:cs="Times New Roman"/>
                <w:sz w:val="24"/>
                <w:szCs w:val="24"/>
              </w:rPr>
              <w:t>l</w:t>
            </w:r>
            <w:r w:rsidRPr="000D3717">
              <w:rPr>
                <w:rFonts w:ascii="Times New Roman" w:hAnsi="Times New Roman" w:cs="Times New Roman"/>
                <w:sz w:val="24"/>
                <w:szCs w:val="24"/>
              </w:rPr>
              <w:t>igj edhe pse ajo është e rregulluar në legjislacionin sekondar.</w:t>
            </w:r>
          </w:p>
        </w:tc>
      </w:tr>
    </w:tbl>
    <w:p w14:paraId="16DE9165"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600D6114" w14:textId="77777777" w:rsidTr="00D30A45">
        <w:tc>
          <w:tcPr>
            <w:tcW w:w="3192" w:type="dxa"/>
          </w:tcPr>
          <w:p w14:paraId="737C9778"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0DCBD740" w14:textId="77777777" w:rsidR="00695548" w:rsidRPr="000D3717" w:rsidRDefault="00635704"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Neni 23 i Ligjit të Konkurrencës përcakton kompetencën e AKK-së për dhënien e mendimeve profesionale për përputhshmërinë e legjislacionit me rregullat e konkurrencës. </w:t>
            </w:r>
          </w:p>
        </w:tc>
      </w:tr>
      <w:tr w:rsidR="00695548" w:rsidRPr="000D3717" w14:paraId="71BC1BBC" w14:textId="77777777" w:rsidTr="00D30A45">
        <w:tc>
          <w:tcPr>
            <w:tcW w:w="3192" w:type="dxa"/>
          </w:tcPr>
          <w:p w14:paraId="7C522A42"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772C18B0" w14:textId="77777777" w:rsidR="00695548" w:rsidRPr="000D3717" w:rsidRDefault="00635704"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Me qëllim të forcimit të mëtejshëm të kësaj detyre të rëndësishme të </w:t>
            </w:r>
            <w:proofErr w:type="spellStart"/>
            <w:r w:rsidRPr="000D3717">
              <w:rPr>
                <w:rFonts w:ascii="Times New Roman" w:hAnsi="Times New Roman" w:cs="Times New Roman"/>
                <w:sz w:val="24"/>
                <w:szCs w:val="24"/>
              </w:rPr>
              <w:t>avokimit</w:t>
            </w:r>
            <w:proofErr w:type="spellEnd"/>
            <w:r w:rsidRPr="000D3717">
              <w:rPr>
                <w:rFonts w:ascii="Times New Roman" w:hAnsi="Times New Roman" w:cs="Times New Roman"/>
                <w:sz w:val="24"/>
                <w:szCs w:val="24"/>
              </w:rPr>
              <w:t xml:space="preserve"> të konkurrencës, do të ishte e dobishme të shtohet në paragrafin 1 se AKK me vet iniciative ose me </w:t>
            </w:r>
            <w:r w:rsidR="00C66B3A" w:rsidRPr="000D3717">
              <w:rPr>
                <w:rFonts w:ascii="Times New Roman" w:hAnsi="Times New Roman" w:cs="Times New Roman"/>
                <w:sz w:val="24"/>
                <w:szCs w:val="24"/>
              </w:rPr>
              <w:t>kërkesë</w:t>
            </w:r>
            <w:r w:rsidRPr="000D3717">
              <w:rPr>
                <w:rFonts w:ascii="Times New Roman" w:hAnsi="Times New Roman" w:cs="Times New Roman"/>
                <w:sz w:val="24"/>
                <w:szCs w:val="24"/>
              </w:rPr>
              <w:t xml:space="preserve"> mund të japë mendime edhe për projektligjet ose propozimet e ligjeve dhe rregulloreve të tjera. </w:t>
            </w:r>
          </w:p>
        </w:tc>
      </w:tr>
    </w:tbl>
    <w:p w14:paraId="5880E89E"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695548" w:rsidRPr="000D3717" w14:paraId="4ED59BE5" w14:textId="77777777" w:rsidTr="00D30A45">
        <w:tc>
          <w:tcPr>
            <w:tcW w:w="3192" w:type="dxa"/>
          </w:tcPr>
          <w:p w14:paraId="6468CFD6"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23FA27CD" w14:textId="77777777" w:rsidR="00695548" w:rsidRPr="000D3717" w:rsidRDefault="001124A9" w:rsidP="00D30A45">
            <w:pPr>
              <w:jc w:val="both"/>
              <w:rPr>
                <w:rFonts w:ascii="Times New Roman" w:hAnsi="Times New Roman" w:cs="Times New Roman"/>
                <w:sz w:val="24"/>
                <w:szCs w:val="24"/>
              </w:rPr>
            </w:pPr>
            <w:r w:rsidRPr="000D3717">
              <w:rPr>
                <w:rFonts w:ascii="Times New Roman" w:hAnsi="Times New Roman" w:cs="Times New Roman"/>
                <w:sz w:val="24"/>
                <w:szCs w:val="24"/>
              </w:rPr>
              <w:t xml:space="preserve">Neni 54 i Ligjit të Konkurrencës përcakton vendimet e miratuara nga AKK. Megjithatë, nuk ka vendim për vendosjen e marrëveshjeve të ndaluara dhe vendosjen e gjobës për shkeljen e nenit 4 të Ligjit të Konkurrencës. </w:t>
            </w:r>
          </w:p>
        </w:tc>
      </w:tr>
      <w:tr w:rsidR="00695548" w:rsidRPr="000D3717" w14:paraId="41CAB64F" w14:textId="77777777" w:rsidTr="00D30A45">
        <w:tc>
          <w:tcPr>
            <w:tcW w:w="3192" w:type="dxa"/>
          </w:tcPr>
          <w:p w14:paraId="73CA7169" w14:textId="77777777" w:rsidR="00695548" w:rsidRPr="000D3717" w:rsidRDefault="00695548"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386DC574" w14:textId="77777777" w:rsidR="001124A9" w:rsidRPr="000D3717" w:rsidRDefault="001124A9" w:rsidP="001124A9">
            <w:pPr>
              <w:rPr>
                <w:rFonts w:ascii="Times New Roman" w:hAnsi="Times New Roman" w:cs="Times New Roman"/>
                <w:sz w:val="24"/>
                <w:szCs w:val="24"/>
              </w:rPr>
            </w:pPr>
            <w:r w:rsidRPr="000D3717">
              <w:rPr>
                <w:rFonts w:ascii="Times New Roman" w:hAnsi="Times New Roman" w:cs="Times New Roman"/>
                <w:sz w:val="24"/>
                <w:szCs w:val="24"/>
              </w:rPr>
              <w:t xml:space="preserve">Ky është hendek në ligj, sepse marrëveshjet e ndaluara, veçanërisht marrëveshjet e ndaluara horizontale ndërmjet konkurrentëve që rregullojnë çmimet ose tregjet e aksioneve (kartelet) përfaqësojnë kufizime thelbësore të konkurrencës për të cilat mund të vendosen gjobat më të larta. </w:t>
            </w:r>
          </w:p>
          <w:p w14:paraId="663CB3CD" w14:textId="77777777" w:rsidR="00695548"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 xml:space="preserve">Gjoba e tillë e lartë për marrëveshjet e ndaluara përcaktohet në </w:t>
            </w:r>
            <w:r w:rsidR="00C66B3A">
              <w:rPr>
                <w:rFonts w:ascii="Times New Roman" w:hAnsi="Times New Roman" w:cs="Times New Roman"/>
                <w:sz w:val="24"/>
                <w:szCs w:val="24"/>
              </w:rPr>
              <w:t>n</w:t>
            </w:r>
            <w:r w:rsidRPr="000D3717">
              <w:rPr>
                <w:rFonts w:ascii="Times New Roman" w:hAnsi="Times New Roman" w:cs="Times New Roman"/>
                <w:sz w:val="24"/>
                <w:szCs w:val="24"/>
              </w:rPr>
              <w:t>enin 56, paragrafi 1.1. i Ligjit të Konkurrencës.</w:t>
            </w:r>
          </w:p>
        </w:tc>
      </w:tr>
    </w:tbl>
    <w:p w14:paraId="18C0D1B0" w14:textId="77777777" w:rsidR="00695548" w:rsidRPr="000D3717" w:rsidRDefault="00695548"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1124A9" w:rsidRPr="000D3717" w14:paraId="31903CD0" w14:textId="77777777" w:rsidTr="00D30A45">
        <w:tc>
          <w:tcPr>
            <w:tcW w:w="3192" w:type="dxa"/>
          </w:tcPr>
          <w:p w14:paraId="38391060"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0035F8A3" w14:textId="77777777" w:rsidR="001124A9" w:rsidRPr="000D3717" w:rsidRDefault="001124A9" w:rsidP="00D30A45">
            <w:pPr>
              <w:jc w:val="both"/>
              <w:rPr>
                <w:rFonts w:ascii="Times New Roman" w:hAnsi="Times New Roman" w:cs="Times New Roman"/>
                <w:sz w:val="24"/>
                <w:szCs w:val="24"/>
              </w:rPr>
            </w:pPr>
            <w:r w:rsidRPr="000D3717">
              <w:rPr>
                <w:rFonts w:ascii="Times New Roman" w:hAnsi="Times New Roman" w:cs="Times New Roman"/>
                <w:sz w:val="24"/>
                <w:szCs w:val="24"/>
              </w:rPr>
              <w:t>Neni 57 i Ligjit të Konkurrencës përcakton gjobat për shkelje të lehta të Ligjit të Konkurrencës në shumën deri në 2% të qarkullimit total të ndërmarrjes.</w:t>
            </w:r>
          </w:p>
        </w:tc>
      </w:tr>
      <w:tr w:rsidR="001124A9" w:rsidRPr="000D3717" w14:paraId="37B8C161" w14:textId="77777777" w:rsidTr="00D30A45">
        <w:tc>
          <w:tcPr>
            <w:tcW w:w="3192" w:type="dxa"/>
          </w:tcPr>
          <w:p w14:paraId="0579C8DD"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2C1B8B39" w14:textId="77777777" w:rsidR="001124A9" w:rsidRPr="000D3717" w:rsidRDefault="001124A9" w:rsidP="00D30A45">
            <w:pPr>
              <w:jc w:val="both"/>
              <w:rPr>
                <w:rFonts w:ascii="Times New Roman" w:hAnsi="Times New Roman" w:cs="Times New Roman"/>
                <w:sz w:val="24"/>
                <w:szCs w:val="24"/>
              </w:rPr>
            </w:pPr>
            <w:r w:rsidRPr="000D3717">
              <w:rPr>
                <w:rFonts w:ascii="Times New Roman" w:hAnsi="Times New Roman" w:cs="Times New Roman"/>
                <w:sz w:val="24"/>
                <w:szCs w:val="24"/>
              </w:rPr>
              <w:t>2% duket të jetë shumë e lartë duke pasur parasysh se zakonisht shumica e BE-së vendosin gjobën për shkeljet e vogla deri në 1% të totalit të xhiros së ndërmarrjes.</w:t>
            </w:r>
          </w:p>
        </w:tc>
      </w:tr>
    </w:tbl>
    <w:p w14:paraId="45DF7E81" w14:textId="77777777" w:rsidR="00FF2F16" w:rsidRPr="000D3717" w:rsidRDefault="00FF2F16"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1124A9" w:rsidRPr="000D3717" w14:paraId="0AD3C7BC" w14:textId="77777777" w:rsidTr="00D30A45">
        <w:tc>
          <w:tcPr>
            <w:tcW w:w="3192" w:type="dxa"/>
          </w:tcPr>
          <w:p w14:paraId="2A04F3A8"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1B0430E0" w14:textId="77777777" w:rsidR="001124A9" w:rsidRPr="000D3717" w:rsidRDefault="001124A9" w:rsidP="00D30A45">
            <w:pPr>
              <w:jc w:val="both"/>
              <w:rPr>
                <w:rFonts w:ascii="Times New Roman" w:hAnsi="Times New Roman" w:cs="Times New Roman"/>
                <w:sz w:val="24"/>
                <w:szCs w:val="24"/>
              </w:rPr>
            </w:pPr>
            <w:r w:rsidRPr="000D3717">
              <w:rPr>
                <w:rFonts w:ascii="Times New Roman" w:hAnsi="Times New Roman" w:cs="Times New Roman"/>
                <w:sz w:val="24"/>
                <w:szCs w:val="24"/>
              </w:rPr>
              <w:t>Neni 57a i Ligjit që plotëson dhe ndryshon ligjin e Konkurrencës parasheh gjobat për personat përgjegjës të ndërmarrjeve që është praktikë e zakonshme në disa shtete të BE-së, por paragrafi 2 gjithashtu parasheh që të gjobitet personi përgjegjës i organit shtetëror. Kjo dispozitë nuk është e qartë, sepse mund të nënkuptojë çdo organ shtetëror të tillë si ministritë apo edhe universitetet.</w:t>
            </w:r>
          </w:p>
        </w:tc>
      </w:tr>
      <w:tr w:rsidR="001124A9" w:rsidRPr="000D3717" w14:paraId="23858B89" w14:textId="77777777" w:rsidTr="00D30A45">
        <w:tc>
          <w:tcPr>
            <w:tcW w:w="3192" w:type="dxa"/>
          </w:tcPr>
          <w:p w14:paraId="79A24046"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6088BA7C"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Megjithatë, autoritetet shtetërore u nënshtrohen rregullave të konkurrencës vetëm nëse ata marrin pjesë në treg dhe madje edhe atëherë, do të jenë personat juridikë që gjobiten dhe jo personat përgjegjës. Nëse kjo dispozitë i referohet kompanive shtetërore, atëherë kjo do të mbulohet nga paragrafi 1 i këtij neni.</w:t>
            </w:r>
          </w:p>
          <w:p w14:paraId="78670707"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Për më tepër, shoqatat</w:t>
            </w:r>
            <w:r w:rsidR="00071C60">
              <w:rPr>
                <w:rFonts w:ascii="Times New Roman" w:hAnsi="Times New Roman" w:cs="Times New Roman"/>
                <w:sz w:val="24"/>
                <w:szCs w:val="24"/>
              </w:rPr>
              <w:t>,</w:t>
            </w:r>
            <w:r w:rsidRPr="000D3717">
              <w:rPr>
                <w:rFonts w:ascii="Times New Roman" w:hAnsi="Times New Roman" w:cs="Times New Roman"/>
                <w:sz w:val="24"/>
                <w:szCs w:val="24"/>
              </w:rPr>
              <w:t xml:space="preserve"> si shoqatat profesionale (odat </w:t>
            </w:r>
            <w:r w:rsidRPr="000D3717">
              <w:rPr>
                <w:rFonts w:ascii="Times New Roman" w:hAnsi="Times New Roman" w:cs="Times New Roman"/>
                <w:sz w:val="24"/>
                <w:szCs w:val="24"/>
              </w:rPr>
              <w:lastRenderedPageBreak/>
              <w:t>ekonomike, shoqatat sportive etj.) mund të jenë subjekt i rregullave të konkurrencës dhe gjobiten për shkelje të Ligjit të Konkurrencës nëse konsiderohen si ndërmarrje. Për shembull, përkufizimi i marrëveshjeve të ndaluara në ligjin e konkurrencës së BE-së dhe në nenin 4 të Ligjit mbi Konkurrencën në Kosovë përfshijnë vendimet e shoqatave të ndërmarrjeve.</w:t>
            </w:r>
          </w:p>
        </w:tc>
      </w:tr>
    </w:tbl>
    <w:p w14:paraId="5546C123" w14:textId="77777777" w:rsidR="001124A9" w:rsidRPr="000D3717" w:rsidRDefault="001124A9"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1124A9" w:rsidRPr="000D3717" w14:paraId="6769E97C" w14:textId="77777777" w:rsidTr="00D30A45">
        <w:tc>
          <w:tcPr>
            <w:tcW w:w="3192" w:type="dxa"/>
          </w:tcPr>
          <w:p w14:paraId="166C48AA"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532C5947" w14:textId="77777777" w:rsidR="001124A9" w:rsidRPr="000D3717" w:rsidRDefault="001124A9" w:rsidP="00D30A45">
            <w:pPr>
              <w:jc w:val="both"/>
              <w:rPr>
                <w:rFonts w:ascii="Times New Roman" w:hAnsi="Times New Roman" w:cs="Times New Roman"/>
                <w:sz w:val="24"/>
                <w:szCs w:val="24"/>
              </w:rPr>
            </w:pPr>
            <w:r w:rsidRPr="000D3717">
              <w:rPr>
                <w:rFonts w:ascii="Times New Roman" w:hAnsi="Times New Roman" w:cs="Times New Roman"/>
                <w:sz w:val="24"/>
                <w:szCs w:val="24"/>
              </w:rPr>
              <w:t>Neni 66 i Ligjit të Konkurrencës parashikon që zbatimi i ligjit duhet të jetë në përputhje me Direktivat e BE-së për konkurrencën.</w:t>
            </w:r>
          </w:p>
        </w:tc>
      </w:tr>
      <w:tr w:rsidR="001124A9" w:rsidRPr="000D3717" w14:paraId="2E4B783E" w14:textId="77777777" w:rsidTr="00870176">
        <w:trPr>
          <w:trHeight w:val="1781"/>
        </w:trPr>
        <w:tc>
          <w:tcPr>
            <w:tcW w:w="3192" w:type="dxa"/>
          </w:tcPr>
          <w:p w14:paraId="652F1B14" w14:textId="77777777" w:rsidR="001124A9" w:rsidRPr="000D3717" w:rsidRDefault="001124A9" w:rsidP="00D30A45">
            <w:pPr>
              <w:rPr>
                <w:rFonts w:ascii="Times New Roman" w:hAnsi="Times New Roman" w:cs="Times New Roman"/>
                <w:b/>
                <w:sz w:val="24"/>
                <w:szCs w:val="24"/>
              </w:rPr>
            </w:pPr>
            <w:r w:rsidRPr="000D3717">
              <w:rPr>
                <w:rFonts w:ascii="Times New Roman" w:hAnsi="Times New Roman" w:cs="Times New Roman"/>
                <w:b/>
                <w:sz w:val="24"/>
                <w:szCs w:val="24"/>
              </w:rPr>
              <w:t>REKOMANDIMI</w:t>
            </w:r>
          </w:p>
        </w:tc>
        <w:tc>
          <w:tcPr>
            <w:tcW w:w="6384" w:type="dxa"/>
          </w:tcPr>
          <w:p w14:paraId="5B2EB0B8"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-Ky nen duhet të ndryshohet dhe të përfshihet legjislacioni i BE-së në kuptim më të gjerë, i cili do të përfshijë jo vetëm direktivat, por edhe rregulloret, njoftimet e komisionit dhe udhëzimet. Për më tepër, bazuar në MSA, do të ishte e dobishme të shtohet referenca për zbatimin e kritereve të legjislacionit të BE-së për konkurrencën në zbatimin e ligjit nga ana e AKK-së sidomos në rastin e zbrazëtirave ligjore ose pasigurive.</w:t>
            </w:r>
          </w:p>
          <w:p w14:paraId="293E769C"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 xml:space="preserve">Në Ligjin e Konkurrencës nuk ka asnjë nen që rregullon kërkesat për dëmshpërblim për shkelje të ligjit të konkurrencës.  </w:t>
            </w:r>
          </w:p>
          <w:p w14:paraId="5C590A7F"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 xml:space="preserve">-Duke pasur parasysh se ekziston një Direktivë e BE-së 2014/104 për dëmet, do të ishte e dobishme që të ketë një nen të veçantë në ligjin e konkurrencës, që thotë se palët e dëmtuara mund të paraqesin kërkesa për dëmshpërblim për dëmin e shkaktuar nga shkelja e ligjit të konkurrencës nga vendimi i autoritetit të konkurrencës. </w:t>
            </w:r>
          </w:p>
          <w:p w14:paraId="5EF4A372"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 xml:space="preserve">-Ky nen gjithashtu do të theksojë se cilat gjykata janë kompetente (zakonisht, gjykatat tregtare). </w:t>
            </w:r>
          </w:p>
          <w:p w14:paraId="6A2F292C" w14:textId="77777777" w:rsidR="001124A9" w:rsidRPr="000D3717" w:rsidRDefault="001124A9" w:rsidP="001124A9">
            <w:pPr>
              <w:jc w:val="both"/>
              <w:rPr>
                <w:rFonts w:ascii="Times New Roman" w:hAnsi="Times New Roman" w:cs="Times New Roman"/>
                <w:sz w:val="24"/>
                <w:szCs w:val="24"/>
              </w:rPr>
            </w:pPr>
            <w:r w:rsidRPr="000D3717">
              <w:rPr>
                <w:rFonts w:ascii="Times New Roman" w:hAnsi="Times New Roman" w:cs="Times New Roman"/>
                <w:sz w:val="24"/>
                <w:szCs w:val="24"/>
              </w:rPr>
              <w:t xml:space="preserve">-Si një referencë </w:t>
            </w:r>
            <w:r w:rsidR="0003233B">
              <w:rPr>
                <w:rFonts w:ascii="Times New Roman" w:hAnsi="Times New Roman" w:cs="Times New Roman"/>
                <w:sz w:val="24"/>
                <w:szCs w:val="24"/>
              </w:rPr>
              <w:t>n</w:t>
            </w:r>
            <w:r w:rsidRPr="000D3717">
              <w:rPr>
                <w:rFonts w:ascii="Times New Roman" w:hAnsi="Times New Roman" w:cs="Times New Roman"/>
                <w:sz w:val="24"/>
                <w:szCs w:val="24"/>
              </w:rPr>
              <w:t>eni 69a i Aktit të Konkurrencës Kroate mund të shërbejë edhe pse ekziston edhe Ligji i veçantë për kërkesat e dëmeve për shkeljen e rregullave të konkurrencës në Kroaci.</w:t>
            </w:r>
          </w:p>
        </w:tc>
      </w:tr>
    </w:tbl>
    <w:p w14:paraId="2050B4A6" w14:textId="77777777" w:rsidR="00FF2F16" w:rsidRPr="000D3717" w:rsidRDefault="00FF2F16" w:rsidP="001E3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6384"/>
      </w:tblGrid>
      <w:tr w:rsidR="00F717DE" w:rsidRPr="000D3717" w14:paraId="4570DA9E" w14:textId="77777777" w:rsidTr="00F717DE">
        <w:tc>
          <w:tcPr>
            <w:tcW w:w="3192" w:type="dxa"/>
          </w:tcPr>
          <w:p w14:paraId="532EFAC7" w14:textId="77777777" w:rsidR="00F717DE" w:rsidRPr="000D3717" w:rsidRDefault="00F717DE" w:rsidP="00F717DE">
            <w:pPr>
              <w:rPr>
                <w:rFonts w:ascii="Times New Roman" w:hAnsi="Times New Roman" w:cs="Times New Roman"/>
                <w:b/>
                <w:sz w:val="24"/>
                <w:szCs w:val="24"/>
              </w:rPr>
            </w:pPr>
            <w:r w:rsidRPr="000D3717">
              <w:rPr>
                <w:rFonts w:ascii="Times New Roman" w:hAnsi="Times New Roman" w:cs="Times New Roman"/>
                <w:b/>
                <w:sz w:val="24"/>
                <w:szCs w:val="24"/>
              </w:rPr>
              <w:t>ANALIZA</w:t>
            </w:r>
          </w:p>
        </w:tc>
        <w:tc>
          <w:tcPr>
            <w:tcW w:w="6384" w:type="dxa"/>
          </w:tcPr>
          <w:p w14:paraId="4C578028" w14:textId="2E0F75D0" w:rsidR="00F717DE" w:rsidRPr="00D0483F" w:rsidRDefault="00F717DE" w:rsidP="00F717DE">
            <w:pPr>
              <w:pStyle w:val="CommentText"/>
              <w:rPr>
                <w:rFonts w:ascii="Times New Roman" w:hAnsi="Times New Roman" w:cs="Times New Roman"/>
                <w:sz w:val="24"/>
                <w:szCs w:val="24"/>
              </w:rPr>
            </w:pPr>
            <w:r w:rsidRPr="00F717DE">
              <w:rPr>
                <w:rFonts w:ascii="Times New Roman" w:hAnsi="Times New Roman" w:cs="Times New Roman"/>
                <w:sz w:val="24"/>
                <w:szCs w:val="24"/>
              </w:rPr>
              <w:t>Bazuar n</w:t>
            </w:r>
            <w:r w:rsidRPr="001F7615">
              <w:rPr>
                <w:rFonts w:ascii="Times New Roman" w:hAnsi="Times New Roman" w:cs="Times New Roman"/>
                <w:sz w:val="24"/>
                <w:szCs w:val="24"/>
              </w:rPr>
              <w:t>ë</w:t>
            </w:r>
            <w:r w:rsidRPr="00D0483F">
              <w:rPr>
                <w:rFonts w:ascii="Times New Roman" w:hAnsi="Times New Roman" w:cs="Times New Roman"/>
                <w:sz w:val="24"/>
                <w:szCs w:val="24"/>
              </w:rPr>
              <w:t xml:space="preserve"> eksperiencat e kaluara kemi pasur raste kur institucione</w:t>
            </w:r>
            <w:r w:rsidRPr="00F717DE">
              <w:rPr>
                <w:rFonts w:ascii="Times New Roman" w:hAnsi="Times New Roman" w:cs="Times New Roman"/>
                <w:sz w:val="24"/>
                <w:szCs w:val="24"/>
              </w:rPr>
              <w:t xml:space="preserve"> t</w:t>
            </w:r>
            <w:r w:rsidRPr="001F7615">
              <w:rPr>
                <w:rFonts w:ascii="Times New Roman" w:hAnsi="Times New Roman" w:cs="Times New Roman"/>
                <w:sz w:val="24"/>
                <w:szCs w:val="24"/>
              </w:rPr>
              <w:t>ë</w:t>
            </w:r>
            <w:r w:rsidRPr="00F717DE">
              <w:rPr>
                <w:rFonts w:ascii="Times New Roman" w:hAnsi="Times New Roman" w:cs="Times New Roman"/>
                <w:sz w:val="24"/>
                <w:szCs w:val="24"/>
              </w:rPr>
              <w:t xml:space="preserve"> ndryshme t</w:t>
            </w:r>
            <w:r w:rsidRPr="001F7615">
              <w:rPr>
                <w:rFonts w:ascii="Times New Roman" w:hAnsi="Times New Roman" w:cs="Times New Roman"/>
                <w:sz w:val="24"/>
                <w:szCs w:val="24"/>
              </w:rPr>
              <w:t>ë</w:t>
            </w:r>
            <w:r w:rsidRPr="00D0483F">
              <w:rPr>
                <w:rFonts w:ascii="Times New Roman" w:hAnsi="Times New Roman" w:cs="Times New Roman"/>
                <w:sz w:val="24"/>
                <w:szCs w:val="24"/>
              </w:rPr>
              <w:t xml:space="preserve"> Republikës</w:t>
            </w:r>
            <w:r w:rsidRPr="00F717DE">
              <w:rPr>
                <w:rFonts w:ascii="Times New Roman" w:hAnsi="Times New Roman" w:cs="Times New Roman"/>
                <w:sz w:val="24"/>
                <w:szCs w:val="24"/>
              </w:rPr>
              <w:t xml:space="preserve"> s</w:t>
            </w:r>
            <w:r w:rsidRPr="001F7615">
              <w:rPr>
                <w:rFonts w:ascii="Times New Roman" w:hAnsi="Times New Roman" w:cs="Times New Roman"/>
                <w:sz w:val="24"/>
                <w:szCs w:val="24"/>
              </w:rPr>
              <w:t>ë</w:t>
            </w:r>
            <w:r w:rsidRPr="00D0483F">
              <w:rPr>
                <w:rFonts w:ascii="Times New Roman" w:hAnsi="Times New Roman" w:cs="Times New Roman"/>
                <w:sz w:val="24"/>
                <w:szCs w:val="24"/>
              </w:rPr>
              <w:t xml:space="preserve"> Kosovës</w:t>
            </w:r>
            <w:r>
              <w:rPr>
                <w:rFonts w:ascii="Times New Roman" w:hAnsi="Times New Roman" w:cs="Times New Roman"/>
                <w:sz w:val="24"/>
                <w:szCs w:val="24"/>
              </w:rPr>
              <w:t xml:space="preserve"> nuk </w:t>
            </w:r>
            <w:r w:rsidRPr="00D0483F">
              <w:rPr>
                <w:rFonts w:ascii="Times New Roman" w:hAnsi="Times New Roman" w:cs="Times New Roman"/>
                <w:sz w:val="24"/>
                <w:szCs w:val="24"/>
              </w:rPr>
              <w:t>parashtrojnë kërkesat e ty</w:t>
            </w:r>
            <w:r w:rsidRPr="00D2733C">
              <w:rPr>
                <w:rFonts w:ascii="Times New Roman" w:hAnsi="Times New Roman" w:cs="Times New Roman"/>
                <w:sz w:val="24"/>
                <w:szCs w:val="24"/>
              </w:rPr>
              <w:t xml:space="preserve">re pran autoritetit  lidhur me </w:t>
            </w:r>
            <w:r>
              <w:rPr>
                <w:rFonts w:ascii="Times New Roman" w:hAnsi="Times New Roman" w:cs="Times New Roman"/>
                <w:sz w:val="24"/>
                <w:szCs w:val="24"/>
              </w:rPr>
              <w:t>ç</w:t>
            </w:r>
            <w:r w:rsidRPr="00D2733C">
              <w:rPr>
                <w:rFonts w:ascii="Times New Roman" w:hAnsi="Times New Roman" w:cs="Times New Roman"/>
                <w:sz w:val="24"/>
                <w:szCs w:val="24"/>
              </w:rPr>
              <w:t>ështjet e vlerësimit t</w:t>
            </w:r>
            <w:r w:rsidRPr="001F7615">
              <w:rPr>
                <w:rFonts w:ascii="Times New Roman" w:hAnsi="Times New Roman" w:cs="Times New Roman"/>
                <w:sz w:val="24"/>
                <w:szCs w:val="24"/>
              </w:rPr>
              <w:t>ë</w:t>
            </w:r>
            <w:r w:rsidRPr="00D2733C">
              <w:rPr>
                <w:rFonts w:ascii="Times New Roman" w:hAnsi="Times New Roman" w:cs="Times New Roman"/>
                <w:sz w:val="24"/>
                <w:szCs w:val="24"/>
              </w:rPr>
              <w:t xml:space="preserve"> </w:t>
            </w:r>
            <w:r w:rsidRPr="00D0483F">
              <w:rPr>
                <w:rFonts w:ascii="Times New Roman" w:hAnsi="Times New Roman" w:cs="Times New Roman"/>
                <w:sz w:val="24"/>
                <w:szCs w:val="24"/>
              </w:rPr>
              <w:t xml:space="preserve">ligjeve, rregulloreve </w:t>
            </w:r>
            <w:r w:rsidR="00D2733C" w:rsidRPr="00D2733C">
              <w:rPr>
                <w:rFonts w:ascii="Times New Roman" w:hAnsi="Times New Roman" w:cs="Times New Roman"/>
                <w:sz w:val="24"/>
                <w:szCs w:val="24"/>
              </w:rPr>
              <w:t>dhe akteve  tjera nënligjore, q</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munde t</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ndikojnë ndjeshëm n</w:t>
            </w:r>
            <w:r w:rsidR="00D2733C" w:rsidRPr="001F7615">
              <w:rPr>
                <w:rFonts w:ascii="Times New Roman" w:hAnsi="Times New Roman" w:cs="Times New Roman"/>
                <w:sz w:val="24"/>
                <w:szCs w:val="24"/>
              </w:rPr>
              <w:t>ë</w:t>
            </w:r>
            <w:r w:rsidRPr="00D0483F">
              <w:rPr>
                <w:rFonts w:ascii="Times New Roman" w:hAnsi="Times New Roman" w:cs="Times New Roman"/>
                <w:sz w:val="24"/>
                <w:szCs w:val="24"/>
              </w:rPr>
              <w:t xml:space="preserve"> Konkurrencën e tregut. S</w:t>
            </w:r>
            <w:r w:rsidR="00D2733C" w:rsidRPr="00D2733C">
              <w:rPr>
                <w:rFonts w:ascii="Times New Roman" w:hAnsi="Times New Roman" w:cs="Times New Roman"/>
                <w:sz w:val="24"/>
                <w:szCs w:val="24"/>
              </w:rPr>
              <w:t>i pasoj</w:t>
            </w:r>
            <w:r w:rsidR="00345C41">
              <w:rPr>
                <w:rFonts w:ascii="Times New Roman" w:hAnsi="Times New Roman" w:cs="Times New Roman"/>
                <w:sz w:val="24"/>
                <w:szCs w:val="24"/>
              </w:rPr>
              <w:t>ë</w:t>
            </w:r>
            <w:r w:rsidR="00D2733C" w:rsidRPr="00D2733C">
              <w:rPr>
                <w:rFonts w:ascii="Times New Roman" w:hAnsi="Times New Roman" w:cs="Times New Roman"/>
                <w:sz w:val="24"/>
                <w:szCs w:val="24"/>
              </w:rPr>
              <w:t xml:space="preserve"> e t</w:t>
            </w:r>
            <w:r w:rsidR="00D2733C" w:rsidRPr="001F7615">
              <w:rPr>
                <w:rFonts w:ascii="Times New Roman" w:hAnsi="Times New Roman" w:cs="Times New Roman"/>
                <w:sz w:val="24"/>
                <w:szCs w:val="24"/>
              </w:rPr>
              <w:t>ë</w:t>
            </w:r>
            <w:r w:rsidRPr="00D0483F">
              <w:rPr>
                <w:rFonts w:ascii="Times New Roman" w:hAnsi="Times New Roman" w:cs="Times New Roman"/>
                <w:sz w:val="24"/>
                <w:szCs w:val="24"/>
              </w:rPr>
              <w:t>r</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kësaj n</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sistemin Juridik t</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Kosovës mund t</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paraqiten kolizione</w:t>
            </w:r>
            <w:r w:rsidRPr="00D0483F">
              <w:rPr>
                <w:rFonts w:ascii="Times New Roman" w:hAnsi="Times New Roman" w:cs="Times New Roman"/>
                <w:sz w:val="24"/>
                <w:szCs w:val="24"/>
              </w:rPr>
              <w:t xml:space="preserve"> ndërmjet Ligjeve ku para</w:t>
            </w:r>
            <w:r w:rsidR="00D2733C" w:rsidRPr="00D2733C">
              <w:rPr>
                <w:rFonts w:ascii="Times New Roman" w:hAnsi="Times New Roman" w:cs="Times New Roman"/>
                <w:sz w:val="24"/>
                <w:szCs w:val="24"/>
              </w:rPr>
              <w:t xml:space="preserve">shihen </w:t>
            </w:r>
            <w:r w:rsidR="00D2733C">
              <w:rPr>
                <w:rFonts w:ascii="Times New Roman" w:hAnsi="Times New Roman" w:cs="Times New Roman"/>
                <w:sz w:val="24"/>
                <w:szCs w:val="24"/>
              </w:rPr>
              <w:t>ç</w:t>
            </w:r>
            <w:r w:rsidR="00D2733C" w:rsidRPr="00D2733C">
              <w:rPr>
                <w:rFonts w:ascii="Times New Roman" w:hAnsi="Times New Roman" w:cs="Times New Roman"/>
                <w:sz w:val="24"/>
                <w:szCs w:val="24"/>
              </w:rPr>
              <w:t xml:space="preserve">ështjet e </w:t>
            </w:r>
            <w:r w:rsidR="00D2733C">
              <w:rPr>
                <w:rFonts w:ascii="Times New Roman" w:hAnsi="Times New Roman" w:cs="Times New Roman"/>
                <w:sz w:val="24"/>
                <w:szCs w:val="24"/>
              </w:rPr>
              <w:t>k</w:t>
            </w:r>
            <w:r w:rsidRPr="00D0483F">
              <w:rPr>
                <w:rFonts w:ascii="Times New Roman" w:hAnsi="Times New Roman" w:cs="Times New Roman"/>
                <w:sz w:val="24"/>
                <w:szCs w:val="24"/>
              </w:rPr>
              <w:t>onkurrencës. Autoriteti, për arsye të interesit të përgjithshëm, v</w:t>
            </w:r>
            <w:r w:rsidR="00D2733C" w:rsidRPr="00D2733C">
              <w:rPr>
                <w:rFonts w:ascii="Times New Roman" w:hAnsi="Times New Roman" w:cs="Times New Roman"/>
                <w:sz w:val="24"/>
                <w:szCs w:val="24"/>
              </w:rPr>
              <w:t>lerëson, në veçanti, pengesat t</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cilat mund t</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ndikojnë n</w:t>
            </w:r>
            <w:r w:rsidR="00D2733C" w:rsidRPr="001F7615">
              <w:rPr>
                <w:rFonts w:ascii="Times New Roman" w:hAnsi="Times New Roman" w:cs="Times New Roman"/>
                <w:sz w:val="24"/>
                <w:szCs w:val="24"/>
              </w:rPr>
              <w:t>ë</w:t>
            </w:r>
            <w:r w:rsidR="00D2733C" w:rsidRPr="00D2733C">
              <w:rPr>
                <w:rFonts w:ascii="Times New Roman" w:hAnsi="Times New Roman" w:cs="Times New Roman"/>
                <w:sz w:val="24"/>
                <w:szCs w:val="24"/>
              </w:rPr>
              <w:t xml:space="preserve"> çrregullimin e konkurrencës n</w:t>
            </w:r>
            <w:r w:rsidR="00D2733C" w:rsidRPr="001F7615">
              <w:rPr>
                <w:rFonts w:ascii="Times New Roman" w:hAnsi="Times New Roman" w:cs="Times New Roman"/>
                <w:sz w:val="24"/>
                <w:szCs w:val="24"/>
              </w:rPr>
              <w:t>ë</w:t>
            </w:r>
            <w:r w:rsidRPr="00D0483F">
              <w:rPr>
                <w:rFonts w:ascii="Times New Roman" w:hAnsi="Times New Roman" w:cs="Times New Roman"/>
                <w:sz w:val="24"/>
                <w:szCs w:val="24"/>
              </w:rPr>
              <w:t xml:space="preserve"> treg. </w:t>
            </w:r>
          </w:p>
          <w:p w14:paraId="53DC4C88" w14:textId="77777777" w:rsidR="00F717DE" w:rsidRPr="000D3717" w:rsidRDefault="00F717DE" w:rsidP="00F717DE">
            <w:pPr>
              <w:jc w:val="both"/>
              <w:rPr>
                <w:rFonts w:ascii="Times New Roman" w:hAnsi="Times New Roman" w:cs="Times New Roman"/>
                <w:sz w:val="24"/>
                <w:szCs w:val="24"/>
              </w:rPr>
            </w:pPr>
          </w:p>
        </w:tc>
      </w:tr>
      <w:tr w:rsidR="00F717DE" w:rsidRPr="000D3717" w14:paraId="1E8160EB" w14:textId="77777777" w:rsidTr="00F717DE">
        <w:trPr>
          <w:trHeight w:val="1781"/>
        </w:trPr>
        <w:tc>
          <w:tcPr>
            <w:tcW w:w="3192" w:type="dxa"/>
          </w:tcPr>
          <w:p w14:paraId="157FB7BE" w14:textId="77777777" w:rsidR="00F717DE" w:rsidRPr="000D3717" w:rsidRDefault="00F717DE" w:rsidP="00F717DE">
            <w:pPr>
              <w:rPr>
                <w:rFonts w:ascii="Times New Roman" w:hAnsi="Times New Roman" w:cs="Times New Roman"/>
                <w:b/>
                <w:sz w:val="24"/>
                <w:szCs w:val="24"/>
              </w:rPr>
            </w:pPr>
            <w:r w:rsidRPr="000D3717">
              <w:rPr>
                <w:rFonts w:ascii="Times New Roman" w:hAnsi="Times New Roman" w:cs="Times New Roman"/>
                <w:b/>
                <w:sz w:val="24"/>
                <w:szCs w:val="24"/>
              </w:rPr>
              <w:lastRenderedPageBreak/>
              <w:t>REKOMANDIMI</w:t>
            </w:r>
          </w:p>
        </w:tc>
        <w:tc>
          <w:tcPr>
            <w:tcW w:w="6384" w:type="dxa"/>
          </w:tcPr>
          <w:p w14:paraId="5FB8AD6B" w14:textId="136F2981" w:rsidR="00D2733C" w:rsidRPr="00D0483F" w:rsidRDefault="00D2733C" w:rsidP="00D0483F">
            <w:pPr>
              <w:pStyle w:val="CommentText"/>
              <w:numPr>
                <w:ilvl w:val="0"/>
                <w:numId w:val="36"/>
              </w:numPr>
              <w:ind w:left="360"/>
              <w:rPr>
                <w:rFonts w:ascii="Times New Roman" w:hAnsi="Times New Roman" w:cs="Times New Roman"/>
                <w:sz w:val="24"/>
                <w:szCs w:val="24"/>
              </w:rPr>
            </w:pPr>
            <w:r w:rsidRPr="00D0483F">
              <w:rPr>
                <w:rFonts w:ascii="Times New Roman" w:hAnsi="Times New Roman" w:cs="Times New Roman"/>
                <w:sz w:val="24"/>
                <w:szCs w:val="24"/>
              </w:rPr>
              <w:t>Neni 28</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 xml:space="preserve">shtohet një paragraf i ri ku parashihet t’u jep vlerësime dhe rekomandime organeve të administratës qendrore e vendore dhe institucioneve të tjera publike, shoqatave tregtare, sindikatave, shoqatave të konsumatorit, dhomave të tregtisë dhe të industrisë, për çështjet që lidhen me konkurrencën; </w:t>
            </w:r>
          </w:p>
          <w:p w14:paraId="4AE1C0F4" w14:textId="65B75A13" w:rsidR="00D2733C" w:rsidRDefault="00D2733C" w:rsidP="00D0483F">
            <w:pPr>
              <w:pStyle w:val="CommentText"/>
              <w:numPr>
                <w:ilvl w:val="0"/>
                <w:numId w:val="36"/>
              </w:numPr>
              <w:ind w:left="360"/>
              <w:rPr>
                <w:rFonts w:ascii="Times New Roman" w:hAnsi="Times New Roman" w:cs="Times New Roman"/>
                <w:sz w:val="24"/>
                <w:szCs w:val="24"/>
              </w:rPr>
            </w:pPr>
            <w:r w:rsidRPr="00D0483F">
              <w:rPr>
                <w:rFonts w:ascii="Times New Roman" w:hAnsi="Times New Roman" w:cs="Times New Roman"/>
                <w:sz w:val="24"/>
                <w:szCs w:val="24"/>
              </w:rPr>
              <w:t>Gjithashtu  propozojmë</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shtohen edhe tre (3) paragraf</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r</w:t>
            </w:r>
            <w:r w:rsidR="0000074C">
              <w:rPr>
                <w:rFonts w:ascii="Times New Roman" w:hAnsi="Times New Roman" w:cs="Times New Roman"/>
                <w:sz w:val="24"/>
                <w:szCs w:val="24"/>
              </w:rPr>
              <w:t>i</w:t>
            </w:r>
            <w:r w:rsidRPr="00D0483F">
              <w:rPr>
                <w:rFonts w:ascii="Times New Roman" w:hAnsi="Times New Roman" w:cs="Times New Roman"/>
                <w:sz w:val="24"/>
                <w:szCs w:val="24"/>
              </w:rPr>
              <w:t xml:space="preserve"> n</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nenin 61.</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Ligjit 03/L-229 për Mbrojtjen e Konkurrencës.</w:t>
            </w:r>
          </w:p>
          <w:p w14:paraId="51B43DBC" w14:textId="77777777" w:rsidR="00D2733C" w:rsidRPr="00D0483F" w:rsidRDefault="00D2733C" w:rsidP="00D0483F">
            <w:pPr>
              <w:pStyle w:val="CommentText"/>
              <w:ind w:left="360"/>
              <w:rPr>
                <w:rFonts w:ascii="Times New Roman" w:hAnsi="Times New Roman" w:cs="Times New Roman"/>
                <w:sz w:val="24"/>
                <w:szCs w:val="24"/>
              </w:rPr>
            </w:pPr>
          </w:p>
          <w:p w14:paraId="0AB1411F" w14:textId="77777777" w:rsidR="00D2733C" w:rsidRDefault="00D2733C" w:rsidP="00D2733C">
            <w:pPr>
              <w:pStyle w:val="CommentText"/>
              <w:rPr>
                <w:rFonts w:ascii="Times New Roman" w:hAnsi="Times New Roman" w:cs="Times New Roman"/>
                <w:sz w:val="24"/>
                <w:szCs w:val="24"/>
              </w:rPr>
            </w:pPr>
            <w:r w:rsidRPr="00D2733C">
              <w:rPr>
                <w:rFonts w:ascii="Times New Roman" w:hAnsi="Times New Roman" w:cs="Times New Roman"/>
                <w:sz w:val="24"/>
                <w:szCs w:val="24"/>
              </w:rPr>
              <w:t>Par</w:t>
            </w:r>
            <w:r>
              <w:rPr>
                <w:rFonts w:ascii="Times New Roman" w:hAnsi="Times New Roman" w:cs="Times New Roman"/>
                <w:sz w:val="24"/>
                <w:szCs w:val="24"/>
              </w:rPr>
              <w:t>agrafi</w:t>
            </w:r>
            <w:r w:rsidRPr="00D2733C">
              <w:rPr>
                <w:rFonts w:ascii="Times New Roman" w:hAnsi="Times New Roman" w:cs="Times New Roman"/>
                <w:sz w:val="24"/>
                <w:szCs w:val="24"/>
              </w:rPr>
              <w:t xml:space="preserve"> 4</w:t>
            </w:r>
            <w:r>
              <w:rPr>
                <w:rFonts w:ascii="Times New Roman" w:hAnsi="Times New Roman" w:cs="Times New Roman"/>
                <w:sz w:val="24"/>
                <w:szCs w:val="24"/>
              </w:rPr>
              <w:t xml:space="preserve"> : </w:t>
            </w:r>
            <w:r w:rsidRPr="00D0483F">
              <w:rPr>
                <w:rFonts w:ascii="Times New Roman" w:hAnsi="Times New Roman" w:cs="Times New Roman"/>
                <w:sz w:val="24"/>
                <w:szCs w:val="24"/>
              </w:rPr>
              <w:t>Autoritetet e administratës qendrore dhe vendore, entet dhe institucionet e tjera rregullatorë, gjatë kryerjes së detyrave për rregullimin e veprimtarisë ekonomike në territorin e Republikës së Kosovës, janë të detyruara të zbatojnë dispozitat e këtij ligji dhe të sigurojnë një konkurrencë të ndershme dhe efektive.</w:t>
            </w:r>
          </w:p>
          <w:p w14:paraId="4D1C0459" w14:textId="77777777" w:rsidR="00D2733C" w:rsidRPr="00D0483F" w:rsidRDefault="00D2733C" w:rsidP="00D2733C">
            <w:pPr>
              <w:pStyle w:val="CommentText"/>
              <w:rPr>
                <w:rFonts w:ascii="Times New Roman" w:hAnsi="Times New Roman" w:cs="Times New Roman"/>
                <w:sz w:val="24"/>
                <w:szCs w:val="24"/>
              </w:rPr>
            </w:pPr>
          </w:p>
          <w:p w14:paraId="46DFAC1D" w14:textId="77777777" w:rsidR="00D2733C" w:rsidRPr="00D0483F" w:rsidRDefault="00D2733C" w:rsidP="00D2733C">
            <w:pPr>
              <w:pStyle w:val="CommentText"/>
              <w:rPr>
                <w:rFonts w:ascii="Times New Roman" w:hAnsi="Times New Roman" w:cs="Times New Roman"/>
                <w:sz w:val="24"/>
                <w:szCs w:val="24"/>
              </w:rPr>
            </w:pPr>
            <w:r w:rsidRPr="00D2733C">
              <w:rPr>
                <w:rFonts w:ascii="Times New Roman" w:hAnsi="Times New Roman" w:cs="Times New Roman"/>
                <w:sz w:val="24"/>
                <w:szCs w:val="24"/>
              </w:rPr>
              <w:t>Par</w:t>
            </w:r>
            <w:r>
              <w:rPr>
                <w:rFonts w:ascii="Times New Roman" w:hAnsi="Times New Roman" w:cs="Times New Roman"/>
                <w:sz w:val="24"/>
                <w:szCs w:val="24"/>
              </w:rPr>
              <w:t xml:space="preserve">agrafi </w:t>
            </w:r>
            <w:r w:rsidRPr="00D2733C">
              <w:rPr>
                <w:rFonts w:ascii="Times New Roman" w:hAnsi="Times New Roman" w:cs="Times New Roman"/>
                <w:sz w:val="24"/>
                <w:szCs w:val="24"/>
              </w:rPr>
              <w:t>5</w:t>
            </w:r>
            <w:r>
              <w:rPr>
                <w:rFonts w:ascii="Times New Roman" w:hAnsi="Times New Roman" w:cs="Times New Roman"/>
                <w:sz w:val="24"/>
                <w:szCs w:val="24"/>
              </w:rPr>
              <w:t xml:space="preserve">: </w:t>
            </w:r>
            <w:r w:rsidRPr="00D0483F">
              <w:rPr>
                <w:rFonts w:ascii="Times New Roman" w:hAnsi="Times New Roman" w:cs="Times New Roman"/>
                <w:sz w:val="24"/>
                <w:szCs w:val="24"/>
              </w:rPr>
              <w:t>Autoriteti, për arsye të interesit të përgjithshëm, vlerëson, në veçanti, barrierat rregulluese të konkurrencës, të përfshira në rregullimin ekonomik dhe administrativ. Në  këto raste Autoriteti bën rekomandimet përkatëse dhe.</w:t>
            </w:r>
          </w:p>
          <w:p w14:paraId="0DDAAFF3" w14:textId="78CFDCC9" w:rsidR="00D2733C" w:rsidRPr="00D0483F" w:rsidRDefault="00D2733C" w:rsidP="00D2733C">
            <w:pPr>
              <w:pStyle w:val="CommentText"/>
              <w:rPr>
                <w:rFonts w:ascii="Times New Roman" w:hAnsi="Times New Roman" w:cs="Times New Roman"/>
                <w:sz w:val="24"/>
                <w:szCs w:val="24"/>
              </w:rPr>
            </w:pPr>
            <w:r w:rsidRPr="00D0483F">
              <w:rPr>
                <w:rFonts w:ascii="Times New Roman" w:hAnsi="Times New Roman" w:cs="Times New Roman"/>
                <w:sz w:val="24"/>
                <w:szCs w:val="24"/>
              </w:rPr>
              <w:t xml:space="preserve">Par.6  Autoriteti, për zbatimin e këtij ligji në sektorët e rregulluar, bashkëpunon me entet dhe institucionet e tjera </w:t>
            </w:r>
            <w:r w:rsidR="00204A34" w:rsidRPr="00D0483F">
              <w:rPr>
                <w:rFonts w:ascii="Times New Roman" w:hAnsi="Times New Roman" w:cs="Times New Roman"/>
                <w:sz w:val="24"/>
                <w:szCs w:val="24"/>
              </w:rPr>
              <w:t>rregullatorë</w:t>
            </w:r>
            <w:r w:rsidRPr="00D0483F">
              <w:rPr>
                <w:rFonts w:ascii="Times New Roman" w:hAnsi="Times New Roman" w:cs="Times New Roman"/>
                <w:sz w:val="24"/>
                <w:szCs w:val="24"/>
              </w:rPr>
              <w:t>.</w:t>
            </w:r>
          </w:p>
          <w:p w14:paraId="199CC7D5" w14:textId="77777777" w:rsidR="00D2733C" w:rsidRPr="00D0483F" w:rsidRDefault="00D2733C" w:rsidP="00D2733C">
            <w:pPr>
              <w:pStyle w:val="CommentText"/>
              <w:rPr>
                <w:rFonts w:ascii="Times New Roman" w:hAnsi="Times New Roman" w:cs="Times New Roman"/>
                <w:sz w:val="24"/>
                <w:szCs w:val="24"/>
              </w:rPr>
            </w:pPr>
          </w:p>
          <w:p w14:paraId="2EAB05F4" w14:textId="46076FFB" w:rsidR="00D2733C" w:rsidRDefault="00D2733C" w:rsidP="00D2733C">
            <w:pPr>
              <w:pStyle w:val="CommentText"/>
              <w:rPr>
                <w:rFonts w:ascii="Times New Roman" w:hAnsi="Times New Roman" w:cs="Times New Roman"/>
                <w:sz w:val="24"/>
                <w:szCs w:val="24"/>
              </w:rPr>
            </w:pPr>
            <w:r w:rsidRPr="00D0483F">
              <w:rPr>
                <w:rFonts w:ascii="Times New Roman" w:hAnsi="Times New Roman" w:cs="Times New Roman"/>
                <w:sz w:val="24"/>
                <w:szCs w:val="24"/>
              </w:rPr>
              <w:t>Nenit  35  t</w:t>
            </w:r>
            <w:r w:rsidR="0000074C">
              <w:rPr>
                <w:rFonts w:ascii="Times New Roman" w:hAnsi="Times New Roman" w:cs="Times New Roman"/>
                <w:sz w:val="24"/>
                <w:szCs w:val="24"/>
              </w:rPr>
              <w:t>’</w:t>
            </w:r>
            <w:r w:rsidRPr="00D0483F">
              <w:rPr>
                <w:rFonts w:ascii="Times New Roman" w:hAnsi="Times New Roman" w:cs="Times New Roman"/>
                <w:sz w:val="24"/>
                <w:szCs w:val="24"/>
              </w:rPr>
              <w:t>i shtohet një paragraf i ri si n</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vijim: </w:t>
            </w:r>
          </w:p>
          <w:p w14:paraId="721037BB" w14:textId="77777777" w:rsidR="00D2733C" w:rsidRPr="00D0483F" w:rsidRDefault="00D2733C" w:rsidP="00D2733C">
            <w:pPr>
              <w:pStyle w:val="CommentText"/>
              <w:rPr>
                <w:rFonts w:ascii="Times New Roman" w:hAnsi="Times New Roman" w:cs="Times New Roman"/>
                <w:sz w:val="24"/>
                <w:szCs w:val="24"/>
              </w:rPr>
            </w:pPr>
          </w:p>
          <w:p w14:paraId="7336F5D2" w14:textId="433EF4DF" w:rsidR="00F717DE" w:rsidRPr="000D3717" w:rsidRDefault="00D2733C" w:rsidP="00D2733C">
            <w:pPr>
              <w:jc w:val="both"/>
              <w:rPr>
                <w:rFonts w:ascii="Times New Roman" w:hAnsi="Times New Roman" w:cs="Times New Roman"/>
                <w:sz w:val="24"/>
                <w:szCs w:val="24"/>
              </w:rPr>
            </w:pPr>
            <w:r w:rsidRPr="00D0483F">
              <w:rPr>
                <w:rFonts w:ascii="Times New Roman" w:hAnsi="Times New Roman" w:cs="Times New Roman"/>
                <w:sz w:val="24"/>
                <w:szCs w:val="24"/>
              </w:rPr>
              <w:t>- Autoriteti n</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baz</w:t>
            </w:r>
            <w:r w:rsidR="0000074C">
              <w:rPr>
                <w:rFonts w:ascii="Times New Roman" w:hAnsi="Times New Roman" w:cs="Times New Roman"/>
                <w:sz w:val="24"/>
                <w:szCs w:val="24"/>
              </w:rPr>
              <w:t>ë</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Iniciativës, kërkesës dhe sipas detyrës zyrtare  munde</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nxjerr Rekomandime ndaj Organeve  Qendrore</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administratës publike dhe Lokale, personave juridik me autoritet publik, për rivendosjen e konkurrencës s</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lir</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dhe efektive n</w:t>
            </w:r>
            <w:r w:rsidR="0000074C">
              <w:rPr>
                <w:rFonts w:ascii="Times New Roman" w:hAnsi="Times New Roman" w:cs="Times New Roman"/>
                <w:sz w:val="24"/>
                <w:szCs w:val="24"/>
              </w:rPr>
              <w:t>ë</w:t>
            </w:r>
            <w:r w:rsidRPr="00D0483F">
              <w:rPr>
                <w:rFonts w:ascii="Times New Roman" w:hAnsi="Times New Roman" w:cs="Times New Roman"/>
                <w:sz w:val="24"/>
                <w:szCs w:val="24"/>
              </w:rPr>
              <w:t xml:space="preserve"> treg.</w:t>
            </w:r>
            <w:r>
              <w:t xml:space="preserve">   </w:t>
            </w:r>
          </w:p>
        </w:tc>
      </w:tr>
    </w:tbl>
    <w:p w14:paraId="646FD2F0" w14:textId="77777777" w:rsidR="00FF2F16" w:rsidRPr="000D3717" w:rsidRDefault="00FF2F16" w:rsidP="001E3DB1">
      <w:pPr>
        <w:rPr>
          <w:rFonts w:ascii="Times New Roman" w:hAnsi="Times New Roman" w:cs="Times New Roman"/>
          <w:sz w:val="24"/>
          <w:szCs w:val="24"/>
        </w:rPr>
      </w:pPr>
    </w:p>
    <w:p w14:paraId="30FC2A8A" w14:textId="77777777" w:rsidR="00FF2F16" w:rsidRPr="000D3717" w:rsidRDefault="00FF2F16" w:rsidP="001E3DB1">
      <w:pPr>
        <w:rPr>
          <w:rFonts w:ascii="Times New Roman" w:hAnsi="Times New Roman" w:cs="Times New Roman"/>
          <w:sz w:val="24"/>
          <w:szCs w:val="24"/>
        </w:rPr>
      </w:pPr>
    </w:p>
    <w:p w14:paraId="54F8B272" w14:textId="77777777" w:rsidR="00FF2F16" w:rsidRPr="000D3717" w:rsidRDefault="00FF2F16" w:rsidP="001E3DB1">
      <w:pPr>
        <w:rPr>
          <w:rFonts w:ascii="Times New Roman" w:hAnsi="Times New Roman" w:cs="Times New Roman"/>
          <w:sz w:val="24"/>
          <w:szCs w:val="24"/>
        </w:rPr>
      </w:pPr>
    </w:p>
    <w:p w14:paraId="63E28FBC" w14:textId="77777777" w:rsidR="000A4228" w:rsidRPr="000D3717" w:rsidRDefault="000A4228" w:rsidP="000A4228">
      <w:pPr>
        <w:pStyle w:val="Caption"/>
        <w:rPr>
          <w:rFonts w:ascii="Times New Roman" w:hAnsi="Times New Roman" w:cs="Times New Roman"/>
          <w:sz w:val="24"/>
          <w:szCs w:val="24"/>
        </w:rPr>
      </w:pPr>
      <w:r w:rsidRPr="000D3717">
        <w:rPr>
          <w:rFonts w:ascii="Times New Roman" w:hAnsi="Times New Roman" w:cs="Times New Roman"/>
          <w:sz w:val="24"/>
          <w:szCs w:val="24"/>
        </w:rPr>
        <w:t>Figur</w:t>
      </w:r>
      <w:r w:rsidR="00A33A00"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3E1B87" w:rsidRPr="000D3717">
        <w:rPr>
          <w:rFonts w:ascii="Times New Roman" w:hAnsi="Times New Roman" w:cs="Times New Roman"/>
          <w:sz w:val="24"/>
          <w:szCs w:val="24"/>
        </w:rPr>
        <w:t>5</w:t>
      </w:r>
      <w:r w:rsidRPr="000D3717">
        <w:rPr>
          <w:rFonts w:ascii="Times New Roman" w:hAnsi="Times New Roman" w:cs="Times New Roman"/>
          <w:sz w:val="24"/>
          <w:szCs w:val="24"/>
        </w:rPr>
        <w:t xml:space="preserve">: </w:t>
      </w:r>
      <w:r w:rsidR="00A33A00" w:rsidRPr="000D3717">
        <w:rPr>
          <w:rFonts w:ascii="Times New Roman" w:hAnsi="Times New Roman" w:cs="Times New Roman"/>
          <w:sz w:val="24"/>
          <w:szCs w:val="24"/>
        </w:rPr>
        <w:t>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09"/>
        <w:gridCol w:w="2007"/>
        <w:gridCol w:w="2445"/>
      </w:tblGrid>
      <w:tr w:rsidR="000A4228" w:rsidRPr="000D3717" w14:paraId="7F2540EE" w14:textId="77777777" w:rsidTr="00A54508">
        <w:tc>
          <w:tcPr>
            <w:tcW w:w="3015" w:type="dxa"/>
          </w:tcPr>
          <w:p w14:paraId="05B114B7" w14:textId="77777777" w:rsidR="000A4228" w:rsidRPr="000D3717" w:rsidRDefault="001E3DB1" w:rsidP="00EC61A2">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Emri i palë</w:t>
            </w:r>
            <w:r w:rsidR="00EC61A2" w:rsidRPr="000D3717">
              <w:rPr>
                <w:rFonts w:ascii="Times New Roman" w:hAnsi="Times New Roman" w:cs="Times New Roman"/>
                <w:sz w:val="24"/>
                <w:szCs w:val="24"/>
              </w:rPr>
              <w:t>s së interesuar</w:t>
            </w:r>
          </w:p>
        </w:tc>
        <w:tc>
          <w:tcPr>
            <w:tcW w:w="2109" w:type="dxa"/>
          </w:tcPr>
          <w:p w14:paraId="757455CB" w14:textId="77777777" w:rsidR="000A4228" w:rsidRPr="000D3717" w:rsidRDefault="00EC61A2" w:rsidP="001E3DB1">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Shkaku-qet me të cilat është e lidhur pala</w:t>
            </w:r>
          </w:p>
        </w:tc>
        <w:tc>
          <w:tcPr>
            <w:tcW w:w="2007" w:type="dxa"/>
          </w:tcPr>
          <w:p w14:paraId="0B0C381F" w14:textId="77777777" w:rsidR="000A4228" w:rsidRPr="000D3717" w:rsidRDefault="00EC61A2" w:rsidP="001E3DB1">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Efekti-et me të cilat është e lidhur pala</w:t>
            </w:r>
          </w:p>
        </w:tc>
        <w:tc>
          <w:tcPr>
            <w:tcW w:w="2445" w:type="dxa"/>
          </w:tcPr>
          <w:p w14:paraId="6ED1BBF9" w14:textId="77777777" w:rsidR="000A4228" w:rsidRPr="000D3717" w:rsidRDefault="001E3DB1" w:rsidP="001E3DB1">
            <w:pPr>
              <w:spacing w:after="0" w:line="240" w:lineRule="auto"/>
              <w:rPr>
                <w:rFonts w:ascii="Times New Roman" w:hAnsi="Times New Roman" w:cs="Times New Roman"/>
                <w:sz w:val="24"/>
                <w:szCs w:val="24"/>
              </w:rPr>
            </w:pPr>
            <w:r w:rsidRPr="000D3717">
              <w:rPr>
                <w:rFonts w:ascii="Times New Roman" w:hAnsi="Times New Roman" w:cs="Times New Roman"/>
                <w:sz w:val="24"/>
                <w:szCs w:val="24"/>
              </w:rPr>
              <w:t>Mënyra me të cilën pala është e lidhur me këtë shkak (shkaqe) apo efektin (efektet)</w:t>
            </w:r>
          </w:p>
        </w:tc>
      </w:tr>
      <w:tr w:rsidR="000A4228" w:rsidRPr="000D3717" w14:paraId="6D8CC212" w14:textId="77777777" w:rsidTr="00A54508">
        <w:tc>
          <w:tcPr>
            <w:tcW w:w="3015" w:type="dxa"/>
          </w:tcPr>
          <w:p w14:paraId="5338E5DE" w14:textId="77777777" w:rsidR="000A4228" w:rsidRPr="000D3717" w:rsidRDefault="00FD359E" w:rsidP="008D7069">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Ndërmarrësit</w:t>
            </w:r>
          </w:p>
        </w:tc>
        <w:tc>
          <w:tcPr>
            <w:tcW w:w="2109" w:type="dxa"/>
          </w:tcPr>
          <w:p w14:paraId="48D755C8" w14:textId="77777777" w:rsidR="000A4228" w:rsidRPr="000D3717" w:rsidRDefault="00FD359E" w:rsidP="00FD359E">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shkakun 1,2,3,4,</w:t>
            </w:r>
            <w:r w:rsidR="00C14D08" w:rsidRPr="000D3717">
              <w:rPr>
                <w:rFonts w:ascii="Times New Roman" w:hAnsi="Times New Roman" w:cs="Times New Roman"/>
                <w:color w:val="000000" w:themeColor="text1"/>
                <w:sz w:val="24"/>
                <w:szCs w:val="24"/>
              </w:rPr>
              <w:t>5,</w:t>
            </w:r>
            <w:r w:rsidRPr="000D3717">
              <w:rPr>
                <w:rFonts w:ascii="Times New Roman" w:hAnsi="Times New Roman" w:cs="Times New Roman"/>
                <w:color w:val="000000" w:themeColor="text1"/>
                <w:sz w:val="24"/>
                <w:szCs w:val="24"/>
              </w:rPr>
              <w:t>6</w:t>
            </w:r>
            <w:r w:rsidR="00C14D08" w:rsidRPr="000D3717">
              <w:rPr>
                <w:rFonts w:ascii="Times New Roman" w:hAnsi="Times New Roman" w:cs="Times New Roman"/>
                <w:color w:val="000000" w:themeColor="text1"/>
                <w:sz w:val="24"/>
                <w:szCs w:val="24"/>
              </w:rPr>
              <w:t>,7</w:t>
            </w:r>
            <w:r w:rsidRPr="000D3717">
              <w:rPr>
                <w:rFonts w:ascii="Times New Roman" w:hAnsi="Times New Roman" w:cs="Times New Roman"/>
                <w:color w:val="000000" w:themeColor="text1"/>
                <w:sz w:val="24"/>
                <w:szCs w:val="24"/>
              </w:rPr>
              <w:t xml:space="preserve"> dhe </w:t>
            </w:r>
            <w:r w:rsidR="00C14D08" w:rsidRPr="000D3717">
              <w:rPr>
                <w:rFonts w:ascii="Times New Roman" w:hAnsi="Times New Roman" w:cs="Times New Roman"/>
                <w:color w:val="000000" w:themeColor="text1"/>
                <w:sz w:val="24"/>
                <w:szCs w:val="24"/>
              </w:rPr>
              <w:t>8</w:t>
            </w:r>
          </w:p>
        </w:tc>
        <w:tc>
          <w:tcPr>
            <w:tcW w:w="2007" w:type="dxa"/>
          </w:tcPr>
          <w:p w14:paraId="0802B539" w14:textId="77777777" w:rsidR="000A4228" w:rsidRPr="000D3717" w:rsidRDefault="00FD359E" w:rsidP="00FD359E">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efektin 1,2,3,4,</w:t>
            </w:r>
            <w:r w:rsidR="00C14D08" w:rsidRPr="000D3717">
              <w:rPr>
                <w:rFonts w:ascii="Times New Roman" w:hAnsi="Times New Roman" w:cs="Times New Roman"/>
                <w:color w:val="000000" w:themeColor="text1"/>
                <w:sz w:val="24"/>
                <w:szCs w:val="24"/>
              </w:rPr>
              <w:t>5,</w:t>
            </w:r>
            <w:r w:rsidRPr="000D3717">
              <w:rPr>
                <w:rFonts w:ascii="Times New Roman" w:hAnsi="Times New Roman" w:cs="Times New Roman"/>
                <w:color w:val="000000" w:themeColor="text1"/>
                <w:sz w:val="24"/>
                <w:szCs w:val="24"/>
              </w:rPr>
              <w:t>6</w:t>
            </w:r>
            <w:r w:rsidR="00C14D08" w:rsidRPr="000D3717">
              <w:rPr>
                <w:rFonts w:ascii="Times New Roman" w:hAnsi="Times New Roman" w:cs="Times New Roman"/>
                <w:color w:val="000000" w:themeColor="text1"/>
                <w:sz w:val="24"/>
                <w:szCs w:val="24"/>
              </w:rPr>
              <w:t>,7</w:t>
            </w:r>
            <w:r w:rsidRPr="000D3717">
              <w:rPr>
                <w:rFonts w:ascii="Times New Roman" w:hAnsi="Times New Roman" w:cs="Times New Roman"/>
                <w:color w:val="000000" w:themeColor="text1"/>
                <w:sz w:val="24"/>
                <w:szCs w:val="24"/>
              </w:rPr>
              <w:t xml:space="preserve"> dhe </w:t>
            </w:r>
            <w:r w:rsidR="00C14D08" w:rsidRPr="000D3717">
              <w:rPr>
                <w:rFonts w:ascii="Times New Roman" w:hAnsi="Times New Roman" w:cs="Times New Roman"/>
                <w:color w:val="000000" w:themeColor="text1"/>
                <w:sz w:val="24"/>
                <w:szCs w:val="24"/>
              </w:rPr>
              <w:t>8</w:t>
            </w:r>
            <w:r w:rsidR="00DA1EA1" w:rsidRPr="000D3717">
              <w:rPr>
                <w:rFonts w:ascii="Times New Roman" w:hAnsi="Times New Roman" w:cs="Times New Roman"/>
                <w:color w:val="000000" w:themeColor="text1"/>
                <w:sz w:val="24"/>
                <w:szCs w:val="24"/>
              </w:rPr>
              <w:t xml:space="preserve">  </w:t>
            </w:r>
            <w:r w:rsidR="002A6AC0" w:rsidRPr="000D3717">
              <w:rPr>
                <w:rFonts w:ascii="Times New Roman" w:hAnsi="Times New Roman" w:cs="Times New Roman"/>
                <w:color w:val="000000" w:themeColor="text1"/>
                <w:sz w:val="24"/>
                <w:szCs w:val="24"/>
              </w:rPr>
              <w:t xml:space="preserve">    </w:t>
            </w:r>
          </w:p>
        </w:tc>
        <w:tc>
          <w:tcPr>
            <w:tcW w:w="2445" w:type="dxa"/>
          </w:tcPr>
          <w:p w14:paraId="6AEEFDD5" w14:textId="77777777" w:rsidR="000A4228" w:rsidRPr="000D3717" w:rsidRDefault="00FD359E" w:rsidP="00FD359E">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Në mënyre të drejtpërdrejtë</w:t>
            </w:r>
          </w:p>
        </w:tc>
      </w:tr>
      <w:tr w:rsidR="00A54508" w:rsidRPr="000D3717" w14:paraId="2FC7B100" w14:textId="77777777" w:rsidTr="00A54508">
        <w:tc>
          <w:tcPr>
            <w:tcW w:w="3015" w:type="dxa"/>
          </w:tcPr>
          <w:p w14:paraId="4BFE29BE"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Avokatet</w:t>
            </w:r>
          </w:p>
        </w:tc>
        <w:tc>
          <w:tcPr>
            <w:tcW w:w="2109" w:type="dxa"/>
          </w:tcPr>
          <w:p w14:paraId="70944BF1"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shkakun 1,2,3,4,5,6,7 dhe 8</w:t>
            </w:r>
          </w:p>
        </w:tc>
        <w:tc>
          <w:tcPr>
            <w:tcW w:w="2007" w:type="dxa"/>
          </w:tcPr>
          <w:p w14:paraId="0432484D"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 xml:space="preserve">Me efektin 1,2,3,4,5,6,7 dhe 8      </w:t>
            </w:r>
          </w:p>
        </w:tc>
        <w:tc>
          <w:tcPr>
            <w:tcW w:w="2445" w:type="dxa"/>
          </w:tcPr>
          <w:p w14:paraId="180C6D3E"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Në mënyre të drejtpërdrejtë</w:t>
            </w:r>
          </w:p>
        </w:tc>
      </w:tr>
      <w:tr w:rsidR="00A54508" w:rsidRPr="000D3717" w14:paraId="70A37089" w14:textId="77777777" w:rsidTr="00A54508">
        <w:tc>
          <w:tcPr>
            <w:tcW w:w="3015" w:type="dxa"/>
          </w:tcPr>
          <w:p w14:paraId="1ADE1FCC"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lastRenderedPageBreak/>
              <w:t>Shoqatat e ndërmarrjeve</w:t>
            </w:r>
          </w:p>
        </w:tc>
        <w:tc>
          <w:tcPr>
            <w:tcW w:w="2109" w:type="dxa"/>
          </w:tcPr>
          <w:p w14:paraId="5676A3EF"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shkakun 1,2,3,4,5,6,7 dhe 8</w:t>
            </w:r>
          </w:p>
        </w:tc>
        <w:tc>
          <w:tcPr>
            <w:tcW w:w="2007" w:type="dxa"/>
          </w:tcPr>
          <w:p w14:paraId="207BE4F6"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 xml:space="preserve">Me efektin 1,2,3,4,5,6,7 dhe 8      </w:t>
            </w:r>
          </w:p>
        </w:tc>
        <w:tc>
          <w:tcPr>
            <w:tcW w:w="2445" w:type="dxa"/>
          </w:tcPr>
          <w:p w14:paraId="4C0B82BD"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Në mënyre të drejtpërdrejtë</w:t>
            </w:r>
          </w:p>
        </w:tc>
      </w:tr>
      <w:tr w:rsidR="00A54508" w:rsidRPr="000D3717" w14:paraId="346EDEF8" w14:textId="77777777" w:rsidTr="00A54508">
        <w:tc>
          <w:tcPr>
            <w:tcW w:w="3015" w:type="dxa"/>
          </w:tcPr>
          <w:p w14:paraId="49213CD8"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Shoqata e konsumatorëve</w:t>
            </w:r>
          </w:p>
        </w:tc>
        <w:tc>
          <w:tcPr>
            <w:tcW w:w="2109" w:type="dxa"/>
          </w:tcPr>
          <w:p w14:paraId="1B27F4BA"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shkakun 1,2,3,4,5,6,7 dhe 8</w:t>
            </w:r>
          </w:p>
        </w:tc>
        <w:tc>
          <w:tcPr>
            <w:tcW w:w="2007" w:type="dxa"/>
          </w:tcPr>
          <w:p w14:paraId="66E43745"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 xml:space="preserve">Me efektin 1,2,3,4,5,6,7 dhe 8      </w:t>
            </w:r>
          </w:p>
        </w:tc>
        <w:tc>
          <w:tcPr>
            <w:tcW w:w="2445" w:type="dxa"/>
          </w:tcPr>
          <w:p w14:paraId="5C2938A4"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Në mënyre të drejtpërdrejtë</w:t>
            </w:r>
          </w:p>
        </w:tc>
      </w:tr>
      <w:tr w:rsidR="00A54508" w:rsidRPr="000D3717" w14:paraId="0AD46C2A" w14:textId="77777777" w:rsidTr="00A54508">
        <w:tc>
          <w:tcPr>
            <w:tcW w:w="3015" w:type="dxa"/>
          </w:tcPr>
          <w:p w14:paraId="1C6C9F72"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Odat ekonomike</w:t>
            </w:r>
          </w:p>
        </w:tc>
        <w:tc>
          <w:tcPr>
            <w:tcW w:w="2109" w:type="dxa"/>
          </w:tcPr>
          <w:p w14:paraId="0E2D999B"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Me shkakun 1,2,3,4,5,6,7 dhe 8</w:t>
            </w:r>
          </w:p>
        </w:tc>
        <w:tc>
          <w:tcPr>
            <w:tcW w:w="2007" w:type="dxa"/>
          </w:tcPr>
          <w:p w14:paraId="066A83D6" w14:textId="77777777" w:rsidR="00A54508" w:rsidRPr="000D3717" w:rsidRDefault="00C14D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 xml:space="preserve">Me efektin 1,2,3,4,5,6,7 dhe 8      </w:t>
            </w:r>
          </w:p>
        </w:tc>
        <w:tc>
          <w:tcPr>
            <w:tcW w:w="2445" w:type="dxa"/>
          </w:tcPr>
          <w:p w14:paraId="3F5068E2" w14:textId="77777777" w:rsidR="00A54508" w:rsidRPr="000D3717" w:rsidRDefault="00A54508" w:rsidP="002A6AC0">
            <w:pPr>
              <w:spacing w:after="0" w:line="240" w:lineRule="auto"/>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Në mënyre të drejtpërdrejtë</w:t>
            </w:r>
          </w:p>
        </w:tc>
      </w:tr>
    </w:tbl>
    <w:p w14:paraId="1246345E" w14:textId="77777777" w:rsidR="000A4228" w:rsidRPr="000D3717" w:rsidRDefault="000A4228" w:rsidP="00063448">
      <w:pPr>
        <w:rPr>
          <w:rFonts w:ascii="Times New Roman" w:hAnsi="Times New Roman" w:cs="Times New Roman"/>
          <w:sz w:val="24"/>
          <w:szCs w:val="24"/>
        </w:rPr>
      </w:pPr>
    </w:p>
    <w:p w14:paraId="2A53BAF7" w14:textId="77777777" w:rsidR="0075339D" w:rsidRPr="000D3717" w:rsidRDefault="00180BB0" w:rsidP="00A61B6E">
      <w:pPr>
        <w:pStyle w:val="Heading1"/>
        <w:rPr>
          <w:rFonts w:ascii="Times New Roman" w:hAnsi="Times New Roman" w:cs="Times New Roman"/>
          <w:sz w:val="24"/>
          <w:szCs w:val="24"/>
        </w:rPr>
      </w:pPr>
      <w:bookmarkStart w:id="6" w:name="_Toc532388153"/>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2: Obje</w:t>
      </w:r>
      <w:r w:rsidRPr="000D3717">
        <w:rPr>
          <w:rFonts w:ascii="Times New Roman" w:hAnsi="Times New Roman" w:cs="Times New Roman"/>
          <w:sz w:val="24"/>
          <w:szCs w:val="24"/>
        </w:rPr>
        <w:t>k</w:t>
      </w:r>
      <w:r w:rsidR="0075339D" w:rsidRPr="000D3717">
        <w:rPr>
          <w:rFonts w:ascii="Times New Roman" w:hAnsi="Times New Roman" w:cs="Times New Roman"/>
          <w:sz w:val="24"/>
          <w:szCs w:val="24"/>
        </w:rPr>
        <w:t>tiv</w:t>
      </w:r>
      <w:r w:rsidRPr="000D3717">
        <w:rPr>
          <w:rFonts w:ascii="Times New Roman" w:hAnsi="Times New Roman" w:cs="Times New Roman"/>
          <w:sz w:val="24"/>
          <w:szCs w:val="24"/>
        </w:rPr>
        <w:t>at</w:t>
      </w:r>
      <w:bookmarkEnd w:id="6"/>
    </w:p>
    <w:p w14:paraId="69384DC6" w14:textId="77777777" w:rsidR="00A15577" w:rsidRPr="000D3717" w:rsidRDefault="00A15577" w:rsidP="005D592D">
      <w:pPr>
        <w:rPr>
          <w:rFonts w:ascii="Times New Roman" w:hAnsi="Times New Roman" w:cs="Times New Roman"/>
          <w:sz w:val="24"/>
          <w:szCs w:val="24"/>
        </w:rPr>
      </w:pPr>
    </w:p>
    <w:p w14:paraId="300CA00A" w14:textId="7BBC3922" w:rsidR="00B60DA7" w:rsidRPr="000D3717" w:rsidRDefault="00B60DA7" w:rsidP="005D592D">
      <w:pPr>
        <w:spacing w:line="360" w:lineRule="auto"/>
        <w:jc w:val="both"/>
        <w:rPr>
          <w:rFonts w:ascii="Times New Roman" w:hAnsi="Times New Roman" w:cs="Times New Roman"/>
          <w:sz w:val="24"/>
          <w:szCs w:val="24"/>
        </w:rPr>
      </w:pPr>
      <w:r w:rsidRPr="000D3717">
        <w:rPr>
          <w:rFonts w:ascii="Times New Roman" w:hAnsi="Times New Roman" w:cs="Times New Roman"/>
          <w:sz w:val="24"/>
          <w:szCs w:val="24"/>
        </w:rPr>
        <w:t>Objektivat kryesore me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cilat lidhet Koncept Dokumenti i </w:t>
      </w:r>
      <w:r w:rsidR="004F691C"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janë</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Shtylla</w:t>
      </w:r>
      <w:r w:rsidRPr="000D3717">
        <w:rPr>
          <w:rFonts w:ascii="Times New Roman" w:hAnsi="Times New Roman" w:cs="Times New Roman"/>
          <w:sz w:val="24"/>
          <w:szCs w:val="24"/>
        </w:rPr>
        <w:t xml:space="preserve"> dy dhe tre e </w:t>
      </w:r>
      <w:r w:rsidR="004F691C" w:rsidRPr="000D3717">
        <w:rPr>
          <w:rFonts w:ascii="Times New Roman" w:hAnsi="Times New Roman" w:cs="Times New Roman"/>
          <w:sz w:val="24"/>
          <w:szCs w:val="24"/>
        </w:rPr>
        <w:t>Strategjisë</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Kombëtare</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Zhvillim 2016 -2021, Shtylla e dyt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e A</w:t>
      </w:r>
      <w:r w:rsidR="00EB68E7">
        <w:rPr>
          <w:rFonts w:ascii="Times New Roman" w:hAnsi="Times New Roman" w:cs="Times New Roman"/>
          <w:sz w:val="24"/>
          <w:szCs w:val="24"/>
        </w:rPr>
        <w:t>gj</w:t>
      </w:r>
      <w:r w:rsidRPr="000D3717">
        <w:rPr>
          <w:rFonts w:ascii="Times New Roman" w:hAnsi="Times New Roman" w:cs="Times New Roman"/>
          <w:sz w:val="24"/>
          <w:szCs w:val="24"/>
        </w:rPr>
        <w:t>end</w:t>
      </w:r>
      <w:r w:rsidR="00EB68E7">
        <w:rPr>
          <w:rFonts w:ascii="Times New Roman" w:hAnsi="Times New Roman" w:cs="Times New Roman"/>
          <w:sz w:val="24"/>
          <w:szCs w:val="24"/>
        </w:rPr>
        <w:t>ë</w:t>
      </w:r>
      <w:r w:rsidRPr="000D3717">
        <w:rPr>
          <w:rFonts w:ascii="Times New Roman" w:hAnsi="Times New Roman" w:cs="Times New Roman"/>
          <w:sz w:val="24"/>
          <w:szCs w:val="24"/>
        </w:rPr>
        <w:t xml:space="preserve">s </w:t>
      </w:r>
      <w:r w:rsidR="004F691C"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Reforma</w:t>
      </w:r>
      <w:r w:rsidRPr="000D3717">
        <w:rPr>
          <w:rFonts w:ascii="Times New Roman" w:hAnsi="Times New Roman" w:cs="Times New Roman"/>
          <w:sz w:val="24"/>
          <w:szCs w:val="24"/>
        </w:rPr>
        <w:t xml:space="preserve"> Evropiane 2016 e cila lidhet me </w:t>
      </w:r>
      <w:proofErr w:type="spellStart"/>
      <w:r w:rsidR="00EF3D1F" w:rsidRPr="000D3717">
        <w:rPr>
          <w:rFonts w:ascii="Times New Roman" w:hAnsi="Times New Roman" w:cs="Times New Roman"/>
          <w:sz w:val="24"/>
          <w:szCs w:val="24"/>
        </w:rPr>
        <w:t>Konku</w:t>
      </w:r>
      <w:r w:rsidR="00EF3D1F">
        <w:rPr>
          <w:rFonts w:ascii="Times New Roman" w:hAnsi="Times New Roman" w:cs="Times New Roman"/>
          <w:sz w:val="24"/>
          <w:szCs w:val="24"/>
        </w:rPr>
        <w:t>r</w:t>
      </w:r>
      <w:r w:rsidR="00EF3D1F" w:rsidRPr="000D3717">
        <w:rPr>
          <w:rFonts w:ascii="Times New Roman" w:hAnsi="Times New Roman" w:cs="Times New Roman"/>
          <w:sz w:val="24"/>
          <w:szCs w:val="24"/>
        </w:rPr>
        <w:t>ru</w:t>
      </w:r>
      <w:r w:rsidR="00EF3D1F">
        <w:rPr>
          <w:rFonts w:ascii="Times New Roman" w:hAnsi="Times New Roman" w:cs="Times New Roman"/>
          <w:sz w:val="24"/>
          <w:szCs w:val="24"/>
        </w:rPr>
        <w:t>esh</w:t>
      </w:r>
      <w:r w:rsidR="00EF3D1F" w:rsidRPr="000D3717">
        <w:rPr>
          <w:rFonts w:ascii="Times New Roman" w:hAnsi="Times New Roman" w:cs="Times New Roman"/>
          <w:sz w:val="24"/>
          <w:szCs w:val="24"/>
        </w:rPr>
        <w:t>mërinë</w:t>
      </w:r>
      <w:proofErr w:type="spellEnd"/>
      <w:r w:rsidRPr="000D3717">
        <w:rPr>
          <w:rFonts w:ascii="Times New Roman" w:hAnsi="Times New Roman" w:cs="Times New Roman"/>
          <w:sz w:val="24"/>
          <w:szCs w:val="24"/>
        </w:rPr>
        <w:t xml:space="preserve"> dhe </w:t>
      </w:r>
      <w:r w:rsidR="004F691C" w:rsidRPr="000D3717">
        <w:rPr>
          <w:rFonts w:ascii="Times New Roman" w:hAnsi="Times New Roman" w:cs="Times New Roman"/>
          <w:sz w:val="24"/>
          <w:szCs w:val="24"/>
        </w:rPr>
        <w:t>Klimën</w:t>
      </w:r>
      <w:r w:rsidRPr="000D3717">
        <w:rPr>
          <w:rFonts w:ascii="Times New Roman" w:hAnsi="Times New Roman" w:cs="Times New Roman"/>
          <w:sz w:val="24"/>
          <w:szCs w:val="24"/>
        </w:rPr>
        <w:t xml:space="preserve"> e Investimeve ku theks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veçantë</w:t>
      </w:r>
      <w:r w:rsidRPr="000D3717">
        <w:rPr>
          <w:rFonts w:ascii="Times New Roman" w:hAnsi="Times New Roman" w:cs="Times New Roman"/>
          <w:sz w:val="24"/>
          <w:szCs w:val="24"/>
        </w:rPr>
        <w:t xml:space="preserve"> i jepet </w:t>
      </w:r>
      <w:r w:rsidR="004F691C" w:rsidRPr="000D3717">
        <w:rPr>
          <w:rFonts w:ascii="Times New Roman" w:hAnsi="Times New Roman" w:cs="Times New Roman"/>
          <w:sz w:val="24"/>
          <w:szCs w:val="24"/>
        </w:rPr>
        <w:t>përmirësimit</w:t>
      </w:r>
      <w:r w:rsidRPr="000D3717">
        <w:rPr>
          <w:rFonts w:ascii="Times New Roman" w:hAnsi="Times New Roman" w:cs="Times New Roman"/>
          <w:sz w:val="24"/>
          <w:szCs w:val="24"/>
        </w:rPr>
        <w:t xml:space="preserve">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mjedisit afarist duke </w:t>
      </w:r>
      <w:r w:rsidR="004F691C" w:rsidRPr="000D3717">
        <w:rPr>
          <w:rFonts w:ascii="Times New Roman" w:hAnsi="Times New Roman" w:cs="Times New Roman"/>
          <w:sz w:val="24"/>
          <w:szCs w:val="24"/>
        </w:rPr>
        <w:t>përmirësuar</w:t>
      </w:r>
      <w:r w:rsidRPr="000D3717">
        <w:rPr>
          <w:rFonts w:ascii="Times New Roman" w:hAnsi="Times New Roman" w:cs="Times New Roman"/>
          <w:sz w:val="24"/>
          <w:szCs w:val="24"/>
        </w:rPr>
        <w:t xml:space="preserve"> kapacitetet e organeve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dhe ndihme </w:t>
      </w:r>
      <w:r w:rsidR="004F691C" w:rsidRPr="000D3717">
        <w:rPr>
          <w:rFonts w:ascii="Times New Roman" w:hAnsi="Times New Roman" w:cs="Times New Roman"/>
          <w:sz w:val="24"/>
          <w:szCs w:val="24"/>
        </w:rPr>
        <w:t>shtetërore</w:t>
      </w:r>
      <w:r w:rsidRPr="000D3717">
        <w:rPr>
          <w:rFonts w:ascii="Times New Roman" w:hAnsi="Times New Roman" w:cs="Times New Roman"/>
          <w:sz w:val="24"/>
          <w:szCs w:val="24"/>
        </w:rPr>
        <w:t>, si dhe s</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fundmi Kapitulli i 8 i </w:t>
      </w:r>
      <w:proofErr w:type="spellStart"/>
      <w:r w:rsidR="004F691C" w:rsidRPr="000D3717">
        <w:rPr>
          <w:rFonts w:ascii="Times New Roman" w:hAnsi="Times New Roman" w:cs="Times New Roman"/>
          <w:sz w:val="24"/>
          <w:szCs w:val="24"/>
        </w:rPr>
        <w:t>A</w:t>
      </w:r>
      <w:r w:rsidRPr="000D3717">
        <w:rPr>
          <w:rFonts w:ascii="Times New Roman" w:hAnsi="Times New Roman" w:cs="Times New Roman"/>
          <w:sz w:val="24"/>
          <w:szCs w:val="24"/>
        </w:rPr>
        <w:t>cquis</w:t>
      </w:r>
      <w:proofErr w:type="spellEnd"/>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politikat e </w:t>
      </w:r>
      <w:r w:rsidR="004F691C" w:rsidRPr="000D3717">
        <w:rPr>
          <w:rFonts w:ascii="Times New Roman" w:hAnsi="Times New Roman" w:cs="Times New Roman"/>
          <w:sz w:val="24"/>
          <w:szCs w:val="24"/>
        </w:rPr>
        <w:t>konkurrencës</w:t>
      </w:r>
      <w:r w:rsidRPr="000D3717">
        <w:rPr>
          <w:rFonts w:ascii="Times New Roman" w:hAnsi="Times New Roman" w:cs="Times New Roman"/>
          <w:sz w:val="24"/>
          <w:szCs w:val="24"/>
        </w:rPr>
        <w:t xml:space="preserve"> i </w:t>
      </w:r>
      <w:r w:rsidR="004F691C" w:rsidRPr="000D3717">
        <w:rPr>
          <w:rFonts w:ascii="Times New Roman" w:hAnsi="Times New Roman" w:cs="Times New Roman"/>
          <w:sz w:val="24"/>
          <w:szCs w:val="24"/>
        </w:rPr>
        <w:t>përfshirë</w:t>
      </w:r>
      <w:r w:rsidRPr="000D3717">
        <w:rPr>
          <w:rFonts w:ascii="Times New Roman" w:hAnsi="Times New Roman" w:cs="Times New Roman"/>
          <w:sz w:val="24"/>
          <w:szCs w:val="24"/>
        </w:rPr>
        <w:t xml:space="preserve"> n</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PKZMSA 2018-2022. </w:t>
      </w:r>
      <w:r w:rsidR="004F691C" w:rsidRPr="000D3717">
        <w:rPr>
          <w:rFonts w:ascii="Times New Roman" w:hAnsi="Times New Roman" w:cs="Times New Roman"/>
          <w:sz w:val="24"/>
          <w:szCs w:val="24"/>
        </w:rPr>
        <w:t>Këto</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janë</w:t>
      </w:r>
      <w:r w:rsidRPr="000D3717">
        <w:rPr>
          <w:rFonts w:ascii="Times New Roman" w:hAnsi="Times New Roman" w:cs="Times New Roman"/>
          <w:sz w:val="24"/>
          <w:szCs w:val="24"/>
        </w:rPr>
        <w:t xml:space="preserve"> </w:t>
      </w:r>
      <w:r w:rsidR="005F15A5" w:rsidRPr="000D3717">
        <w:rPr>
          <w:rFonts w:ascii="Times New Roman" w:hAnsi="Times New Roman" w:cs="Times New Roman"/>
          <w:sz w:val="24"/>
          <w:szCs w:val="24"/>
        </w:rPr>
        <w:t xml:space="preserve">tre </w:t>
      </w:r>
      <w:r w:rsidRPr="000D3717">
        <w:rPr>
          <w:rFonts w:ascii="Times New Roman" w:hAnsi="Times New Roman" w:cs="Times New Roman"/>
          <w:sz w:val="24"/>
          <w:szCs w:val="24"/>
        </w:rPr>
        <w:t>objektiva</w:t>
      </w:r>
      <w:r w:rsidR="005F15A5" w:rsidRPr="000D3717">
        <w:rPr>
          <w:rFonts w:ascii="Times New Roman" w:hAnsi="Times New Roman" w:cs="Times New Roman"/>
          <w:sz w:val="24"/>
          <w:szCs w:val="24"/>
        </w:rPr>
        <w:t>t relevant</w:t>
      </w:r>
      <w:r w:rsidR="004F691C" w:rsidRPr="000D3717">
        <w:rPr>
          <w:rFonts w:ascii="Times New Roman" w:hAnsi="Times New Roman" w:cs="Times New Roman"/>
          <w:sz w:val="24"/>
          <w:szCs w:val="24"/>
        </w:rPr>
        <w:t>e</w:t>
      </w:r>
      <w:r w:rsidRPr="000D3717">
        <w:rPr>
          <w:rFonts w:ascii="Times New Roman" w:hAnsi="Times New Roman" w:cs="Times New Roman"/>
          <w:sz w:val="24"/>
          <w:szCs w:val="24"/>
        </w:rPr>
        <w:t xml:space="preserve">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cilat dalin n</w:t>
      </w:r>
      <w:r w:rsidR="005F15A5" w:rsidRPr="000D3717">
        <w:rPr>
          <w:rFonts w:ascii="Times New Roman" w:hAnsi="Times New Roman" w:cs="Times New Roman"/>
          <w:sz w:val="24"/>
          <w:szCs w:val="24"/>
        </w:rPr>
        <w:t>ga tre dokumente strategjike q</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kan</w:t>
      </w:r>
      <w:r w:rsidR="00EB68E7">
        <w:rPr>
          <w:rFonts w:ascii="Times New Roman" w:hAnsi="Times New Roman" w:cs="Times New Roman"/>
          <w:sz w:val="24"/>
          <w:szCs w:val="24"/>
        </w:rPr>
        <w:t>ë</w:t>
      </w:r>
      <w:r w:rsidRPr="000D3717">
        <w:rPr>
          <w:rFonts w:ascii="Times New Roman" w:hAnsi="Times New Roman" w:cs="Times New Roman"/>
          <w:sz w:val="24"/>
          <w:szCs w:val="24"/>
        </w:rPr>
        <w:t xml:space="preserve"> </w:t>
      </w:r>
      <w:r w:rsidR="004F691C" w:rsidRPr="000D3717">
        <w:rPr>
          <w:rFonts w:ascii="Times New Roman" w:hAnsi="Times New Roman" w:cs="Times New Roman"/>
          <w:sz w:val="24"/>
          <w:szCs w:val="24"/>
        </w:rPr>
        <w:t>ekzistuar</w:t>
      </w:r>
      <w:r w:rsidRPr="000D3717">
        <w:rPr>
          <w:rFonts w:ascii="Times New Roman" w:hAnsi="Times New Roman" w:cs="Times New Roman"/>
          <w:sz w:val="24"/>
          <w:szCs w:val="24"/>
        </w:rPr>
        <w:t xml:space="preserve"> me </w:t>
      </w:r>
      <w:r w:rsidR="004F691C" w:rsidRPr="000D3717">
        <w:rPr>
          <w:rFonts w:ascii="Times New Roman" w:hAnsi="Times New Roman" w:cs="Times New Roman"/>
          <w:sz w:val="24"/>
          <w:szCs w:val="24"/>
        </w:rPr>
        <w:t>herët</w:t>
      </w:r>
      <w:r w:rsidRPr="000D3717">
        <w:rPr>
          <w:rFonts w:ascii="Times New Roman" w:hAnsi="Times New Roman" w:cs="Times New Roman"/>
          <w:sz w:val="24"/>
          <w:szCs w:val="24"/>
        </w:rPr>
        <w:t xml:space="preserve"> se t</w:t>
      </w:r>
      <w:r w:rsidR="004F691C" w:rsidRPr="000D3717">
        <w:rPr>
          <w:rFonts w:ascii="Times New Roman" w:hAnsi="Times New Roman" w:cs="Times New Roman"/>
          <w:sz w:val="24"/>
          <w:szCs w:val="24"/>
        </w:rPr>
        <w:t>ë</w:t>
      </w:r>
      <w:r w:rsidRPr="000D3717">
        <w:rPr>
          <w:rFonts w:ascii="Times New Roman" w:hAnsi="Times New Roman" w:cs="Times New Roman"/>
          <w:sz w:val="24"/>
          <w:szCs w:val="24"/>
        </w:rPr>
        <w:t xml:space="preserve"> formulohet Koncept Dokumenti</w:t>
      </w:r>
      <w:r w:rsidR="005F15A5" w:rsidRPr="000D3717">
        <w:rPr>
          <w:rFonts w:ascii="Times New Roman" w:hAnsi="Times New Roman" w:cs="Times New Roman"/>
          <w:sz w:val="24"/>
          <w:szCs w:val="24"/>
        </w:rPr>
        <w:t xml:space="preserve"> i </w:t>
      </w:r>
      <w:r w:rsidR="004F691C" w:rsidRPr="000D3717">
        <w:rPr>
          <w:rFonts w:ascii="Times New Roman" w:hAnsi="Times New Roman" w:cs="Times New Roman"/>
          <w:sz w:val="24"/>
          <w:szCs w:val="24"/>
        </w:rPr>
        <w:t>Konkurrencës</w:t>
      </w:r>
      <w:r w:rsidR="005F15A5" w:rsidRPr="000D3717">
        <w:rPr>
          <w:rFonts w:ascii="Times New Roman" w:hAnsi="Times New Roman" w:cs="Times New Roman"/>
          <w:sz w:val="24"/>
          <w:szCs w:val="24"/>
        </w:rPr>
        <w:t xml:space="preserve">. </w:t>
      </w:r>
    </w:p>
    <w:p w14:paraId="6F6463D1" w14:textId="77777777" w:rsidR="00C966E4" w:rsidRPr="000D3717" w:rsidRDefault="00C966E4" w:rsidP="00C966E4">
      <w:pPr>
        <w:pStyle w:val="Caption"/>
        <w:rPr>
          <w:rFonts w:ascii="Times New Roman" w:hAnsi="Times New Roman" w:cs="Times New Roman"/>
          <w:sz w:val="24"/>
          <w:szCs w:val="24"/>
        </w:rPr>
      </w:pPr>
      <w:r w:rsidRPr="000D3717">
        <w:rPr>
          <w:rFonts w:ascii="Times New Roman" w:hAnsi="Times New Roman" w:cs="Times New Roman"/>
          <w:sz w:val="24"/>
          <w:szCs w:val="24"/>
        </w:rPr>
        <w:t>Figure</w:t>
      </w:r>
      <w:r w:rsidR="003E1B87" w:rsidRPr="000D3717">
        <w:rPr>
          <w:rFonts w:ascii="Times New Roman" w:hAnsi="Times New Roman" w:cs="Times New Roman"/>
          <w:sz w:val="24"/>
          <w:szCs w:val="24"/>
        </w:rPr>
        <w:t xml:space="preserve"> 6</w:t>
      </w:r>
      <w:r w:rsidRPr="000D3717">
        <w:rPr>
          <w:rFonts w:ascii="Times New Roman" w:hAnsi="Times New Roman" w:cs="Times New Roman"/>
          <w:sz w:val="24"/>
          <w:szCs w:val="24"/>
        </w:rPr>
        <w:t xml:space="preserve">: </w:t>
      </w:r>
      <w:r w:rsidR="0065255B" w:rsidRPr="000D3717">
        <w:rPr>
          <w:rFonts w:ascii="Times New Roman" w:hAnsi="Times New Roman" w:cs="Times New Roman"/>
          <w:sz w:val="24"/>
          <w:szCs w:val="24"/>
        </w:rPr>
        <w:t>Objektivat relevante të Qeverisë</w:t>
      </w:r>
    </w:p>
    <w:tbl>
      <w:tblPr>
        <w:tblStyle w:val="TableGrid"/>
        <w:tblW w:w="0" w:type="auto"/>
        <w:tblLook w:val="04A0" w:firstRow="1" w:lastRow="0" w:firstColumn="1" w:lastColumn="0" w:noHBand="0" w:noVBand="1"/>
      </w:tblPr>
      <w:tblGrid>
        <w:gridCol w:w="4675"/>
        <w:gridCol w:w="4675"/>
      </w:tblGrid>
      <w:tr w:rsidR="005C65EC" w:rsidRPr="000D3717" w14:paraId="13A17850" w14:textId="77777777" w:rsidTr="00C966E4">
        <w:tc>
          <w:tcPr>
            <w:tcW w:w="4675" w:type="dxa"/>
          </w:tcPr>
          <w:p w14:paraId="79562E00" w14:textId="77777777" w:rsidR="005C65EC" w:rsidRPr="000D3717" w:rsidRDefault="0065255B" w:rsidP="0065255B">
            <w:pPr>
              <w:rPr>
                <w:rFonts w:ascii="Times New Roman" w:hAnsi="Times New Roman" w:cs="Times New Roman"/>
                <w:b/>
                <w:sz w:val="24"/>
                <w:szCs w:val="24"/>
              </w:rPr>
            </w:pPr>
            <w:r w:rsidRPr="000D3717">
              <w:rPr>
                <w:rFonts w:ascii="Times New Roman" w:hAnsi="Times New Roman" w:cs="Times New Roman"/>
                <w:b/>
                <w:sz w:val="24"/>
                <w:szCs w:val="24"/>
              </w:rPr>
              <w:t>Objektivi relevant</w:t>
            </w:r>
          </w:p>
        </w:tc>
        <w:tc>
          <w:tcPr>
            <w:tcW w:w="4675" w:type="dxa"/>
          </w:tcPr>
          <w:p w14:paraId="7A2FB78C" w14:textId="77777777" w:rsidR="005C65EC" w:rsidRPr="000D3717" w:rsidRDefault="0065255B" w:rsidP="00EC61A2">
            <w:pPr>
              <w:rPr>
                <w:rFonts w:ascii="Times New Roman" w:hAnsi="Times New Roman" w:cs="Times New Roman"/>
                <w:b/>
                <w:sz w:val="24"/>
                <w:szCs w:val="24"/>
              </w:rPr>
            </w:pPr>
            <w:r w:rsidRPr="000D3717">
              <w:rPr>
                <w:rFonts w:ascii="Times New Roman" w:hAnsi="Times New Roman" w:cs="Times New Roman"/>
                <w:b/>
                <w:sz w:val="24"/>
                <w:szCs w:val="24"/>
              </w:rPr>
              <w:t>Emri i dokumentit përkatës të planifikimit (</w:t>
            </w:r>
            <w:r w:rsidR="00EC61A2" w:rsidRPr="000D3717">
              <w:rPr>
                <w:rFonts w:ascii="Times New Roman" w:hAnsi="Times New Roman" w:cs="Times New Roman"/>
                <w:b/>
                <w:sz w:val="24"/>
                <w:szCs w:val="24"/>
              </w:rPr>
              <w:t>burimi</w:t>
            </w:r>
            <w:r w:rsidRPr="000D3717">
              <w:rPr>
                <w:rFonts w:ascii="Times New Roman" w:hAnsi="Times New Roman" w:cs="Times New Roman"/>
                <w:b/>
                <w:sz w:val="24"/>
                <w:szCs w:val="24"/>
              </w:rPr>
              <w:t>)</w:t>
            </w:r>
          </w:p>
        </w:tc>
      </w:tr>
      <w:tr w:rsidR="00C966E4" w:rsidRPr="000D3717" w14:paraId="6E06B060" w14:textId="77777777" w:rsidTr="00C966E4">
        <w:tc>
          <w:tcPr>
            <w:tcW w:w="4675" w:type="dxa"/>
          </w:tcPr>
          <w:p w14:paraId="349151AE" w14:textId="77777777" w:rsidR="00AE6725" w:rsidRPr="000D3717" w:rsidRDefault="00173A97" w:rsidP="00AE6725">
            <w:pPr>
              <w:pStyle w:val="NormalWeb"/>
              <w:shd w:val="clear" w:color="auto" w:fill="FFFFFF" w:themeFill="background1"/>
              <w:jc w:val="both"/>
              <w:rPr>
                <w:rFonts w:eastAsiaTheme="minorHAnsi"/>
                <w:color w:val="000000" w:themeColor="text1"/>
                <w:lang w:val="sq-AL"/>
              </w:rPr>
            </w:pPr>
            <w:r w:rsidRPr="000D3717">
              <w:rPr>
                <w:rFonts w:eastAsiaTheme="minorHAnsi"/>
                <w:color w:val="000000" w:themeColor="text1"/>
                <w:lang w:val="sq-AL"/>
              </w:rPr>
              <w:t xml:space="preserve">II. </w:t>
            </w:r>
            <w:proofErr w:type="spellStart"/>
            <w:r w:rsidRPr="000D3717">
              <w:rPr>
                <w:rFonts w:eastAsiaTheme="minorHAnsi"/>
                <w:color w:val="000000" w:themeColor="text1"/>
                <w:lang w:val="sq-AL"/>
              </w:rPr>
              <w:t>Konkurrueshmëria</w:t>
            </w:r>
            <w:proofErr w:type="spellEnd"/>
            <w:r w:rsidRPr="000D3717">
              <w:rPr>
                <w:rFonts w:eastAsiaTheme="minorHAnsi"/>
                <w:color w:val="000000" w:themeColor="text1"/>
                <w:lang w:val="sq-AL"/>
              </w:rPr>
              <w:t xml:space="preserve"> dhe Klima e Investimeve – 2. </w:t>
            </w:r>
            <w:r w:rsidR="004F691C" w:rsidRPr="000D3717">
              <w:rPr>
                <w:rFonts w:eastAsiaTheme="minorHAnsi"/>
                <w:color w:val="000000" w:themeColor="text1"/>
                <w:lang w:val="sq-AL"/>
              </w:rPr>
              <w:t>Përmirësimin</w:t>
            </w:r>
            <w:r w:rsidRPr="000D3717">
              <w:rPr>
                <w:rFonts w:eastAsiaTheme="minorHAnsi"/>
                <w:color w:val="000000" w:themeColor="text1"/>
                <w:lang w:val="sq-AL"/>
              </w:rPr>
              <w:t xml:space="preserve"> e mjedisit afarist – e. Harmonizimin e </w:t>
            </w:r>
            <w:r w:rsidR="004F691C" w:rsidRPr="000D3717">
              <w:rPr>
                <w:rFonts w:eastAsiaTheme="minorHAnsi"/>
                <w:color w:val="000000" w:themeColor="text1"/>
                <w:lang w:val="sq-AL"/>
              </w:rPr>
              <w:t>legjislacionit</w:t>
            </w:r>
            <w:r w:rsidRPr="000D3717">
              <w:rPr>
                <w:rFonts w:eastAsiaTheme="minorHAnsi"/>
                <w:color w:val="000000" w:themeColor="text1"/>
                <w:lang w:val="sq-AL"/>
              </w:rPr>
              <w:t xml:space="preserve">, </w:t>
            </w:r>
            <w:r w:rsidR="004F691C" w:rsidRPr="000D3717">
              <w:rPr>
                <w:rFonts w:eastAsiaTheme="minorHAnsi"/>
                <w:color w:val="000000" w:themeColor="text1"/>
                <w:lang w:val="sq-AL"/>
              </w:rPr>
              <w:t>përmirësimin</w:t>
            </w:r>
            <w:r w:rsidRPr="000D3717">
              <w:rPr>
                <w:rFonts w:eastAsiaTheme="minorHAnsi"/>
                <w:color w:val="000000" w:themeColor="text1"/>
                <w:lang w:val="sq-AL"/>
              </w:rPr>
              <w:t xml:space="preserve"> e kapaciteteve t</w:t>
            </w:r>
            <w:r w:rsidR="004F691C" w:rsidRPr="000D3717">
              <w:rPr>
                <w:rFonts w:eastAsiaTheme="minorHAnsi"/>
                <w:color w:val="000000" w:themeColor="text1"/>
                <w:lang w:val="sq-AL"/>
              </w:rPr>
              <w:t>ë</w:t>
            </w:r>
            <w:r w:rsidRPr="000D3717">
              <w:rPr>
                <w:rFonts w:eastAsiaTheme="minorHAnsi"/>
                <w:color w:val="000000" w:themeColor="text1"/>
                <w:lang w:val="sq-AL"/>
              </w:rPr>
              <w:t xml:space="preserve"> organeve t</w:t>
            </w:r>
            <w:r w:rsidR="004F691C" w:rsidRPr="000D3717">
              <w:rPr>
                <w:rFonts w:eastAsiaTheme="minorHAnsi"/>
                <w:color w:val="000000" w:themeColor="text1"/>
                <w:lang w:val="sq-AL"/>
              </w:rPr>
              <w:t>ë</w:t>
            </w:r>
            <w:r w:rsidRPr="000D3717">
              <w:rPr>
                <w:rFonts w:eastAsiaTheme="minorHAnsi"/>
                <w:color w:val="000000" w:themeColor="text1"/>
                <w:lang w:val="sq-AL"/>
              </w:rPr>
              <w:t xml:space="preserve"> </w:t>
            </w:r>
            <w:r w:rsidR="004F691C" w:rsidRPr="000D3717">
              <w:rPr>
                <w:rFonts w:eastAsiaTheme="minorHAnsi"/>
                <w:color w:val="000000" w:themeColor="text1"/>
                <w:lang w:val="sq-AL"/>
              </w:rPr>
              <w:t>konkurrencës</w:t>
            </w:r>
            <w:r w:rsidRPr="000D3717">
              <w:rPr>
                <w:rFonts w:eastAsiaTheme="minorHAnsi"/>
                <w:color w:val="000000" w:themeColor="text1"/>
                <w:lang w:val="sq-AL"/>
              </w:rPr>
              <w:t xml:space="preserve"> dhe </w:t>
            </w:r>
            <w:r w:rsidR="004F691C" w:rsidRPr="000D3717">
              <w:rPr>
                <w:rFonts w:eastAsiaTheme="minorHAnsi"/>
                <w:color w:val="000000" w:themeColor="text1"/>
                <w:lang w:val="sq-AL"/>
              </w:rPr>
              <w:t>ndihmës</w:t>
            </w:r>
            <w:r w:rsidRPr="000D3717">
              <w:rPr>
                <w:rFonts w:eastAsiaTheme="minorHAnsi"/>
                <w:color w:val="000000" w:themeColor="text1"/>
                <w:lang w:val="sq-AL"/>
              </w:rPr>
              <w:t xml:space="preserve"> </w:t>
            </w:r>
            <w:r w:rsidR="004F691C" w:rsidRPr="000D3717">
              <w:rPr>
                <w:rFonts w:eastAsiaTheme="minorHAnsi"/>
                <w:color w:val="000000" w:themeColor="text1"/>
                <w:lang w:val="sq-AL"/>
              </w:rPr>
              <w:t>shtetërore</w:t>
            </w:r>
            <w:r w:rsidRPr="000D3717">
              <w:rPr>
                <w:rFonts w:eastAsiaTheme="minorHAnsi"/>
                <w:color w:val="000000" w:themeColor="text1"/>
                <w:lang w:val="sq-AL"/>
              </w:rPr>
              <w:t>, dhe sigurimin q</w:t>
            </w:r>
            <w:r w:rsidR="004F691C" w:rsidRPr="000D3717">
              <w:rPr>
                <w:rFonts w:eastAsiaTheme="minorHAnsi"/>
                <w:color w:val="000000" w:themeColor="text1"/>
                <w:lang w:val="sq-AL"/>
              </w:rPr>
              <w:t>ë</w:t>
            </w:r>
            <w:r w:rsidRPr="000D3717">
              <w:rPr>
                <w:rFonts w:eastAsiaTheme="minorHAnsi"/>
                <w:color w:val="000000" w:themeColor="text1"/>
                <w:lang w:val="sq-AL"/>
              </w:rPr>
              <w:t xml:space="preserve"> t</w:t>
            </w:r>
            <w:r w:rsidR="004F691C" w:rsidRPr="000D3717">
              <w:rPr>
                <w:rFonts w:eastAsiaTheme="minorHAnsi"/>
                <w:color w:val="000000" w:themeColor="text1"/>
                <w:lang w:val="sq-AL"/>
              </w:rPr>
              <w:t>ë</w:t>
            </w:r>
            <w:r w:rsidRPr="000D3717">
              <w:rPr>
                <w:rFonts w:eastAsiaTheme="minorHAnsi"/>
                <w:color w:val="000000" w:themeColor="text1"/>
                <w:lang w:val="sq-AL"/>
              </w:rPr>
              <w:t xml:space="preserve"> </w:t>
            </w:r>
            <w:r w:rsidR="004F691C" w:rsidRPr="000D3717">
              <w:rPr>
                <w:rFonts w:eastAsiaTheme="minorHAnsi"/>
                <w:color w:val="000000" w:themeColor="text1"/>
                <w:lang w:val="sq-AL"/>
              </w:rPr>
              <w:t>fillojnë</w:t>
            </w:r>
            <w:r w:rsidRPr="000D3717">
              <w:rPr>
                <w:rFonts w:eastAsiaTheme="minorHAnsi"/>
                <w:color w:val="000000" w:themeColor="text1"/>
                <w:lang w:val="sq-AL"/>
              </w:rPr>
              <w:t xml:space="preserve"> t</w:t>
            </w:r>
            <w:r w:rsidR="004F691C" w:rsidRPr="000D3717">
              <w:rPr>
                <w:rFonts w:eastAsiaTheme="minorHAnsi"/>
                <w:color w:val="000000" w:themeColor="text1"/>
                <w:lang w:val="sq-AL"/>
              </w:rPr>
              <w:t>ë</w:t>
            </w:r>
            <w:r w:rsidRPr="000D3717">
              <w:rPr>
                <w:rFonts w:eastAsiaTheme="minorHAnsi"/>
                <w:color w:val="000000" w:themeColor="text1"/>
                <w:lang w:val="sq-AL"/>
              </w:rPr>
              <w:t xml:space="preserve"> </w:t>
            </w:r>
            <w:r w:rsidR="004F691C" w:rsidRPr="000D3717">
              <w:rPr>
                <w:rFonts w:eastAsiaTheme="minorHAnsi"/>
                <w:color w:val="000000" w:themeColor="text1"/>
                <w:lang w:val="sq-AL"/>
              </w:rPr>
              <w:t>zbatojnë</w:t>
            </w:r>
            <w:r w:rsidRPr="000D3717">
              <w:rPr>
                <w:rFonts w:eastAsiaTheme="minorHAnsi"/>
                <w:color w:val="000000" w:themeColor="text1"/>
                <w:lang w:val="sq-AL"/>
              </w:rPr>
              <w:t xml:space="preserve"> mandatet e tyre. </w:t>
            </w:r>
          </w:p>
          <w:p w14:paraId="45F75807" w14:textId="77777777" w:rsidR="00B46EE4" w:rsidRPr="005B54DA" w:rsidRDefault="00B46EE4" w:rsidP="00AE6725">
            <w:pPr>
              <w:pStyle w:val="NormalWeb"/>
              <w:shd w:val="clear" w:color="auto" w:fill="FFFFFF" w:themeFill="background1"/>
              <w:jc w:val="both"/>
              <w:rPr>
                <w:lang w:val="sq-AL"/>
              </w:rPr>
            </w:pPr>
            <w:r w:rsidRPr="005B54DA">
              <w:rPr>
                <w:lang w:val="sq-AL"/>
              </w:rPr>
              <w:t xml:space="preserve">e.1. Fuqizimi i procedurave dhe kapaciteteve të brendshme në Autoritetin Kosovar të Konkurrencës për realizimin e hetimeve </w:t>
            </w:r>
          </w:p>
          <w:p w14:paraId="3CF8D9E3" w14:textId="77777777" w:rsidR="001C7171" w:rsidRPr="005B54DA" w:rsidRDefault="00B46EE4" w:rsidP="00AE6725">
            <w:pPr>
              <w:pStyle w:val="NormalWeb"/>
              <w:shd w:val="clear" w:color="auto" w:fill="FFFFFF" w:themeFill="background1"/>
              <w:ind w:left="720"/>
              <w:jc w:val="both"/>
              <w:rPr>
                <w:lang w:val="sq-AL"/>
              </w:rPr>
            </w:pPr>
            <w:r w:rsidRPr="005B54DA">
              <w:rPr>
                <w:lang w:val="sq-AL"/>
              </w:rPr>
              <w:t>e.2. Autoriteti i Konkurrencës duhet të hulumtojë dhe përgatis një raport mbi gjendjen aktuale të monopoleve në tregun në K</w:t>
            </w:r>
            <w:r w:rsidR="00AE6725" w:rsidRPr="005B54DA">
              <w:rPr>
                <w:lang w:val="sq-AL"/>
              </w:rPr>
              <w:t>osovë, me rekomandimet e duhura</w:t>
            </w:r>
          </w:p>
        </w:tc>
        <w:tc>
          <w:tcPr>
            <w:tcW w:w="4675" w:type="dxa"/>
          </w:tcPr>
          <w:p w14:paraId="31CBAF09" w14:textId="77777777" w:rsidR="00C966E4" w:rsidRPr="000D3717" w:rsidRDefault="00B46EE4" w:rsidP="005D592D">
            <w:pPr>
              <w:jc w:val="both"/>
              <w:rPr>
                <w:rFonts w:ascii="Times New Roman" w:hAnsi="Times New Roman" w:cs="Times New Roman"/>
                <w:color w:val="000000" w:themeColor="text1"/>
                <w:sz w:val="24"/>
                <w:szCs w:val="24"/>
              </w:rPr>
            </w:pPr>
            <w:r w:rsidRPr="000D3717">
              <w:rPr>
                <w:rFonts w:ascii="Times New Roman" w:hAnsi="Times New Roman" w:cs="Times New Roman"/>
                <w:sz w:val="24"/>
                <w:szCs w:val="24"/>
              </w:rPr>
              <w:t xml:space="preserve"> A</w:t>
            </w:r>
            <w:r w:rsidR="00EB68E7">
              <w:rPr>
                <w:rFonts w:ascii="Times New Roman" w:hAnsi="Times New Roman" w:cs="Times New Roman"/>
                <w:sz w:val="24"/>
                <w:szCs w:val="24"/>
              </w:rPr>
              <w:t>gj</w:t>
            </w:r>
            <w:r w:rsidRPr="000D3717">
              <w:rPr>
                <w:rFonts w:ascii="Times New Roman" w:hAnsi="Times New Roman" w:cs="Times New Roman"/>
                <w:sz w:val="24"/>
                <w:szCs w:val="24"/>
              </w:rPr>
              <w:t>enda për Reforma Evropiane 2016 (ERA – Kapitulli 2, Pika 2, Paragrafi e);</w:t>
            </w:r>
          </w:p>
        </w:tc>
      </w:tr>
      <w:tr w:rsidR="00C966E4" w:rsidRPr="000D3717" w14:paraId="724E220E" w14:textId="77777777" w:rsidTr="00C966E4">
        <w:tc>
          <w:tcPr>
            <w:tcW w:w="4675" w:type="dxa"/>
          </w:tcPr>
          <w:p w14:paraId="11A9575A" w14:textId="77777777" w:rsidR="00C966E4" w:rsidRPr="000D3717" w:rsidRDefault="00D450A0" w:rsidP="005D592D">
            <w:pPr>
              <w:pStyle w:val="Heading1"/>
              <w:spacing w:before="0"/>
              <w:jc w:val="both"/>
              <w:outlineLvl w:val="0"/>
              <w:rPr>
                <w:rFonts w:ascii="Times New Roman" w:eastAsiaTheme="minorHAnsi" w:hAnsi="Times New Roman" w:cs="Times New Roman"/>
                <w:color w:val="000000" w:themeColor="text1"/>
                <w:sz w:val="24"/>
                <w:szCs w:val="24"/>
              </w:rPr>
            </w:pPr>
            <w:bookmarkStart w:id="7" w:name="_Toc472327582"/>
            <w:bookmarkStart w:id="8" w:name="_Toc500511005"/>
            <w:bookmarkStart w:id="9" w:name="_Toc532388154"/>
            <w:r w:rsidRPr="000D3717">
              <w:rPr>
                <w:rFonts w:ascii="Times New Roman" w:eastAsiaTheme="minorHAnsi" w:hAnsi="Times New Roman" w:cs="Times New Roman"/>
                <w:color w:val="000000" w:themeColor="text1"/>
                <w:sz w:val="24"/>
                <w:szCs w:val="24"/>
              </w:rPr>
              <w:lastRenderedPageBreak/>
              <w:t xml:space="preserve">Kapitulli 8 i </w:t>
            </w:r>
            <w:proofErr w:type="spellStart"/>
            <w:r w:rsidR="004F691C" w:rsidRPr="000D3717">
              <w:rPr>
                <w:rFonts w:ascii="Times New Roman" w:eastAsiaTheme="minorHAnsi" w:hAnsi="Times New Roman" w:cs="Times New Roman"/>
                <w:color w:val="000000" w:themeColor="text1"/>
                <w:sz w:val="24"/>
                <w:szCs w:val="24"/>
              </w:rPr>
              <w:t>A</w:t>
            </w:r>
            <w:r w:rsidRPr="000D3717">
              <w:rPr>
                <w:rFonts w:ascii="Times New Roman" w:eastAsiaTheme="minorHAnsi" w:hAnsi="Times New Roman" w:cs="Times New Roman"/>
                <w:color w:val="000000" w:themeColor="text1"/>
                <w:sz w:val="24"/>
                <w:szCs w:val="24"/>
              </w:rPr>
              <w:t>cquis</w:t>
            </w:r>
            <w:proofErr w:type="spellEnd"/>
            <w:r w:rsidRPr="000D3717">
              <w:rPr>
                <w:rFonts w:ascii="Times New Roman" w:eastAsiaTheme="minorHAnsi" w:hAnsi="Times New Roman" w:cs="Times New Roman"/>
                <w:color w:val="000000" w:themeColor="text1"/>
                <w:sz w:val="24"/>
                <w:szCs w:val="24"/>
              </w:rPr>
              <w:t>-së: Politikat e konkurrencës</w:t>
            </w:r>
            <w:bookmarkEnd w:id="7"/>
            <w:bookmarkEnd w:id="8"/>
            <w:r w:rsidR="00B3684C" w:rsidRPr="000D3717">
              <w:rPr>
                <w:rFonts w:ascii="Times New Roman" w:eastAsiaTheme="minorHAnsi" w:hAnsi="Times New Roman" w:cs="Times New Roman"/>
                <w:color w:val="000000" w:themeColor="text1"/>
                <w:sz w:val="24"/>
                <w:szCs w:val="24"/>
              </w:rPr>
              <w:t>;</w:t>
            </w:r>
            <w:bookmarkEnd w:id="9"/>
          </w:p>
          <w:p w14:paraId="2888D091" w14:textId="77777777" w:rsidR="00B3684C" w:rsidRPr="000D3717" w:rsidRDefault="00B3684C" w:rsidP="00695808">
            <w:pPr>
              <w:rPr>
                <w:rFonts w:ascii="Times New Roman" w:hAnsi="Times New Roman" w:cs="Times New Roman"/>
                <w:sz w:val="24"/>
                <w:szCs w:val="24"/>
              </w:rPr>
            </w:pPr>
          </w:p>
          <w:p w14:paraId="23B61F59" w14:textId="77777777" w:rsidR="00B3684C" w:rsidRPr="000D3717" w:rsidRDefault="00B3684C" w:rsidP="00695808">
            <w:pPr>
              <w:pStyle w:val="ListParagraph"/>
              <w:numPr>
                <w:ilvl w:val="0"/>
                <w:numId w:val="34"/>
              </w:numPr>
              <w:rPr>
                <w:rFonts w:ascii="Times New Roman" w:hAnsi="Times New Roman" w:cs="Times New Roman"/>
                <w:sz w:val="24"/>
                <w:szCs w:val="24"/>
              </w:rPr>
            </w:pPr>
            <w:r w:rsidRPr="005B54DA">
              <w:rPr>
                <w:rFonts w:ascii="Times New Roman" w:eastAsia="Times New Roman" w:hAnsi="Times New Roman" w:cs="Times New Roman"/>
                <w:sz w:val="24"/>
                <w:szCs w:val="24"/>
              </w:rPr>
              <w:t>Duhet të vazhdohet me plotësimin e legjislacionit sekondar dhe udhëzueseve për zbatimin e kornizës ligjore</w:t>
            </w:r>
          </w:p>
        </w:tc>
        <w:tc>
          <w:tcPr>
            <w:tcW w:w="4675" w:type="dxa"/>
          </w:tcPr>
          <w:p w14:paraId="1CDD568D" w14:textId="77777777" w:rsidR="00C966E4" w:rsidRPr="000D3717" w:rsidRDefault="0061035C" w:rsidP="005D592D">
            <w:pPr>
              <w:jc w:val="both"/>
              <w:rPr>
                <w:rFonts w:ascii="Times New Roman" w:hAnsi="Times New Roman" w:cs="Times New Roman"/>
                <w:color w:val="000000" w:themeColor="text1"/>
                <w:sz w:val="24"/>
                <w:szCs w:val="24"/>
              </w:rPr>
            </w:pPr>
            <w:r w:rsidRPr="000D3717">
              <w:rPr>
                <w:rFonts w:ascii="Times New Roman" w:hAnsi="Times New Roman" w:cs="Times New Roman"/>
                <w:color w:val="000000" w:themeColor="text1"/>
                <w:sz w:val="24"/>
                <w:szCs w:val="24"/>
              </w:rPr>
              <w:t>PKZMSA 2018-2022</w:t>
            </w:r>
          </w:p>
        </w:tc>
      </w:tr>
    </w:tbl>
    <w:p w14:paraId="3A7D7430" w14:textId="77777777" w:rsidR="00C966E4" w:rsidRPr="000D3717" w:rsidRDefault="00C966E4" w:rsidP="0075339D">
      <w:pPr>
        <w:rPr>
          <w:rFonts w:ascii="Times New Roman" w:hAnsi="Times New Roman" w:cs="Times New Roman"/>
          <w:sz w:val="24"/>
          <w:szCs w:val="24"/>
        </w:rPr>
      </w:pPr>
    </w:p>
    <w:p w14:paraId="79DF2E13" w14:textId="77777777" w:rsidR="0075339D" w:rsidRPr="000D3717" w:rsidRDefault="00180BB0" w:rsidP="00A61B6E">
      <w:pPr>
        <w:pStyle w:val="Heading1"/>
        <w:rPr>
          <w:rFonts w:ascii="Times New Roman" w:hAnsi="Times New Roman" w:cs="Times New Roman"/>
          <w:sz w:val="24"/>
          <w:szCs w:val="24"/>
        </w:rPr>
      </w:pPr>
      <w:bookmarkStart w:id="10" w:name="_Toc532388155"/>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3: Op</w:t>
      </w:r>
      <w:r w:rsidRPr="000D3717">
        <w:rPr>
          <w:rFonts w:ascii="Times New Roman" w:hAnsi="Times New Roman" w:cs="Times New Roman"/>
          <w:sz w:val="24"/>
          <w:szCs w:val="24"/>
        </w:rPr>
        <w:t>s</w:t>
      </w:r>
      <w:r w:rsidR="0075339D" w:rsidRPr="000D3717">
        <w:rPr>
          <w:rFonts w:ascii="Times New Roman" w:hAnsi="Times New Roman" w:cs="Times New Roman"/>
          <w:sz w:val="24"/>
          <w:szCs w:val="24"/>
        </w:rPr>
        <w:t>ion</w:t>
      </w:r>
      <w:r w:rsidRPr="000D3717">
        <w:rPr>
          <w:rFonts w:ascii="Times New Roman" w:hAnsi="Times New Roman" w:cs="Times New Roman"/>
          <w:sz w:val="24"/>
          <w:szCs w:val="24"/>
        </w:rPr>
        <w:t>et</w:t>
      </w:r>
      <w:bookmarkEnd w:id="10"/>
      <w:r w:rsidR="0075339D" w:rsidRPr="000D3717">
        <w:rPr>
          <w:rFonts w:ascii="Times New Roman" w:hAnsi="Times New Roman" w:cs="Times New Roman"/>
          <w:sz w:val="24"/>
          <w:szCs w:val="24"/>
        </w:rPr>
        <w:t xml:space="preserve"> </w:t>
      </w:r>
    </w:p>
    <w:p w14:paraId="01F78A8A" w14:textId="77777777" w:rsidR="004976EC" w:rsidRPr="000D3717" w:rsidRDefault="004976EC" w:rsidP="00695808">
      <w:pPr>
        <w:rPr>
          <w:rFonts w:ascii="Times New Roman" w:hAnsi="Times New Roman" w:cs="Times New Roman"/>
          <w:sz w:val="24"/>
          <w:szCs w:val="24"/>
        </w:rPr>
      </w:pPr>
    </w:p>
    <w:p w14:paraId="108A7886" w14:textId="77777777" w:rsidR="00BB2D6C" w:rsidRPr="000D3717" w:rsidRDefault="00BB2D6C" w:rsidP="00BB2D6C">
      <w:pPr>
        <w:jc w:val="both"/>
        <w:rPr>
          <w:rFonts w:ascii="Times New Roman" w:eastAsia="MS Mincho" w:hAnsi="Times New Roman" w:cs="Times New Roman"/>
          <w:sz w:val="24"/>
          <w:szCs w:val="24"/>
        </w:rPr>
      </w:pPr>
      <w:r w:rsidRPr="000D3717">
        <w:rPr>
          <w:rFonts w:ascii="Times New Roman" w:eastAsia="MS Mincho" w:hAnsi="Times New Roman" w:cs="Times New Roman"/>
          <w:sz w:val="24"/>
          <w:szCs w:val="24"/>
        </w:rPr>
        <w:t>Grupi Punues për hartimin e Koncept Dokumentit  n</w:t>
      </w:r>
      <w:r w:rsidR="00904A36">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w:t>
      </w:r>
      <w:r w:rsidR="001C7171" w:rsidRPr="000D3717">
        <w:rPr>
          <w:rFonts w:ascii="Times New Roman" w:eastAsia="MS Mincho" w:hAnsi="Times New Roman" w:cs="Times New Roman"/>
          <w:sz w:val="24"/>
          <w:szCs w:val="24"/>
        </w:rPr>
        <w:t>F</w:t>
      </w:r>
      <w:r w:rsidRPr="000D3717">
        <w:rPr>
          <w:rFonts w:ascii="Times New Roman" w:eastAsia="MS Mincho" w:hAnsi="Times New Roman" w:cs="Times New Roman"/>
          <w:sz w:val="24"/>
          <w:szCs w:val="24"/>
        </w:rPr>
        <w:t xml:space="preserve">ushën e </w:t>
      </w:r>
      <w:r w:rsidR="001C7171" w:rsidRPr="000D3717">
        <w:rPr>
          <w:rFonts w:ascii="Times New Roman" w:eastAsia="MS Mincho" w:hAnsi="Times New Roman" w:cs="Times New Roman"/>
          <w:sz w:val="24"/>
          <w:szCs w:val="24"/>
        </w:rPr>
        <w:t>K</w:t>
      </w:r>
      <w:r w:rsidRPr="000D3717">
        <w:rPr>
          <w:rFonts w:ascii="Times New Roman" w:eastAsia="MS Mincho" w:hAnsi="Times New Roman" w:cs="Times New Roman"/>
          <w:sz w:val="24"/>
          <w:szCs w:val="24"/>
        </w:rPr>
        <w:t xml:space="preserve">onkurrencës ka shqyrtuar tri opsione kryesore për adresimin e Problemit Kryesor. Dy </w:t>
      </w:r>
      <w:r w:rsidR="001C7171" w:rsidRPr="000D3717">
        <w:rPr>
          <w:rFonts w:ascii="Times New Roman" w:eastAsia="MS Mincho" w:hAnsi="Times New Roman" w:cs="Times New Roman"/>
          <w:sz w:val="24"/>
          <w:szCs w:val="24"/>
        </w:rPr>
        <w:t xml:space="preserve">nga </w:t>
      </w:r>
      <w:r w:rsidRPr="000D3717">
        <w:rPr>
          <w:rFonts w:ascii="Times New Roman" w:eastAsia="MS Mincho" w:hAnsi="Times New Roman" w:cs="Times New Roman"/>
          <w:sz w:val="24"/>
          <w:szCs w:val="24"/>
        </w:rPr>
        <w:t>opsionet e shqyrtuara, pra opsioni</w:t>
      </w:r>
      <w:r w:rsidR="002728B4" w:rsidRPr="000D3717">
        <w:rPr>
          <w:rFonts w:ascii="Times New Roman" w:eastAsia="MS Mincho" w:hAnsi="Times New Roman" w:cs="Times New Roman"/>
          <w:sz w:val="24"/>
          <w:szCs w:val="24"/>
        </w:rPr>
        <w:t xml:space="preserve"> i pare</w:t>
      </w:r>
      <w:r w:rsidRPr="000D3717">
        <w:rPr>
          <w:rFonts w:ascii="Times New Roman" w:eastAsia="MS Mincho" w:hAnsi="Times New Roman" w:cs="Times New Roman"/>
          <w:sz w:val="24"/>
          <w:szCs w:val="24"/>
        </w:rPr>
        <w:t xml:space="preserve"> </w:t>
      </w:r>
      <w:r w:rsidR="001C7171" w:rsidRPr="000D3717">
        <w:rPr>
          <w:rFonts w:ascii="Times New Roman" w:eastAsia="MS Mincho" w:hAnsi="Times New Roman" w:cs="Times New Roman"/>
          <w:sz w:val="24"/>
          <w:szCs w:val="24"/>
        </w:rPr>
        <w:t>“</w:t>
      </w:r>
      <w:r w:rsidR="00525572" w:rsidRPr="000D3717">
        <w:rPr>
          <w:rFonts w:ascii="Times New Roman" w:eastAsia="MS Mincho" w:hAnsi="Times New Roman" w:cs="Times New Roman"/>
          <w:b/>
          <w:sz w:val="24"/>
          <w:szCs w:val="24"/>
        </w:rPr>
        <w:t>A</w:t>
      </w:r>
      <w:r w:rsidRPr="000D3717">
        <w:rPr>
          <w:rFonts w:ascii="Times New Roman" w:eastAsia="MS Mincho" w:hAnsi="Times New Roman" w:cs="Times New Roman"/>
          <w:b/>
          <w:sz w:val="24"/>
          <w:szCs w:val="24"/>
        </w:rPr>
        <w:t xml:space="preserve">snjë </w:t>
      </w:r>
      <w:r w:rsidR="00525572" w:rsidRPr="000D3717">
        <w:rPr>
          <w:rFonts w:ascii="Times New Roman" w:eastAsia="MS Mincho" w:hAnsi="Times New Roman" w:cs="Times New Roman"/>
          <w:b/>
          <w:sz w:val="24"/>
          <w:szCs w:val="24"/>
        </w:rPr>
        <w:t>N</w:t>
      </w:r>
      <w:r w:rsidRPr="000D3717">
        <w:rPr>
          <w:rFonts w:ascii="Times New Roman" w:eastAsia="MS Mincho" w:hAnsi="Times New Roman" w:cs="Times New Roman"/>
          <w:b/>
          <w:sz w:val="24"/>
          <w:szCs w:val="24"/>
        </w:rPr>
        <w:t>dryshim</w:t>
      </w:r>
      <w:r w:rsidR="001C7171" w:rsidRPr="000D3717">
        <w:rPr>
          <w:rFonts w:ascii="Times New Roman" w:eastAsia="MS Mincho" w:hAnsi="Times New Roman" w:cs="Times New Roman"/>
          <w:sz w:val="24"/>
          <w:szCs w:val="24"/>
        </w:rPr>
        <w:t>”</w:t>
      </w:r>
      <w:r w:rsidRPr="000D3717">
        <w:rPr>
          <w:rFonts w:ascii="Times New Roman" w:eastAsia="MS Mincho" w:hAnsi="Times New Roman" w:cs="Times New Roman"/>
          <w:sz w:val="24"/>
          <w:szCs w:val="24"/>
        </w:rPr>
        <w:t xml:space="preserve"> dhe</w:t>
      </w:r>
      <w:r w:rsidR="002728B4" w:rsidRPr="000D3717">
        <w:rPr>
          <w:rFonts w:ascii="Times New Roman" w:eastAsia="MS Mincho" w:hAnsi="Times New Roman" w:cs="Times New Roman"/>
          <w:sz w:val="24"/>
          <w:szCs w:val="24"/>
        </w:rPr>
        <w:t xml:space="preserve"> i opsioni i tret</w:t>
      </w:r>
      <w:r w:rsidR="00904A36">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w:t>
      </w:r>
      <w:r w:rsidR="001C7171" w:rsidRPr="000D3717">
        <w:rPr>
          <w:rFonts w:ascii="Times New Roman" w:eastAsia="MS Mincho" w:hAnsi="Times New Roman" w:cs="Times New Roman"/>
          <w:sz w:val="24"/>
          <w:szCs w:val="24"/>
        </w:rPr>
        <w:t>“</w:t>
      </w:r>
      <w:r w:rsidR="00525572" w:rsidRPr="000D3717">
        <w:rPr>
          <w:rFonts w:ascii="Times New Roman" w:eastAsia="MS Mincho" w:hAnsi="Times New Roman" w:cs="Times New Roman"/>
          <w:b/>
          <w:sz w:val="24"/>
          <w:szCs w:val="24"/>
        </w:rPr>
        <w:t>Trajnime dhe Ngritje kapaciteteve t</w:t>
      </w:r>
      <w:r w:rsidR="00AD00F1">
        <w:rPr>
          <w:rFonts w:ascii="Times New Roman" w:eastAsia="MS Mincho" w:hAnsi="Times New Roman" w:cs="Times New Roman"/>
          <w:b/>
          <w:sz w:val="24"/>
          <w:szCs w:val="24"/>
        </w:rPr>
        <w:t>ë</w:t>
      </w:r>
      <w:r w:rsidR="00525572" w:rsidRPr="000D3717">
        <w:rPr>
          <w:rFonts w:ascii="Times New Roman" w:eastAsia="MS Mincho" w:hAnsi="Times New Roman" w:cs="Times New Roman"/>
          <w:b/>
          <w:sz w:val="24"/>
          <w:szCs w:val="24"/>
        </w:rPr>
        <w:t xml:space="preserve"> AKK</w:t>
      </w:r>
      <w:r w:rsidR="00AD00F1">
        <w:rPr>
          <w:rFonts w:ascii="Times New Roman" w:eastAsia="MS Mincho" w:hAnsi="Times New Roman" w:cs="Times New Roman"/>
          <w:b/>
          <w:sz w:val="24"/>
          <w:szCs w:val="24"/>
        </w:rPr>
        <w:t>-së</w:t>
      </w:r>
      <w:r w:rsidR="001C7171" w:rsidRPr="000D3717">
        <w:rPr>
          <w:rFonts w:ascii="Times New Roman" w:eastAsia="MS Mincho" w:hAnsi="Times New Roman" w:cs="Times New Roman"/>
          <w:sz w:val="24"/>
          <w:szCs w:val="24"/>
        </w:rPr>
        <w:t>”</w:t>
      </w:r>
      <w:r w:rsidRPr="000D3717">
        <w:rPr>
          <w:rFonts w:ascii="Times New Roman" w:eastAsia="MS Mincho" w:hAnsi="Times New Roman" w:cs="Times New Roman"/>
          <w:sz w:val="24"/>
          <w:szCs w:val="24"/>
        </w:rPr>
        <w:t xml:space="preserve">, u </w:t>
      </w:r>
      <w:proofErr w:type="spellStart"/>
      <w:r w:rsidRPr="000D3717">
        <w:rPr>
          <w:rFonts w:ascii="Times New Roman" w:eastAsia="MS Mincho" w:hAnsi="Times New Roman" w:cs="Times New Roman"/>
          <w:sz w:val="24"/>
          <w:szCs w:val="24"/>
        </w:rPr>
        <w:t>konkludua</w:t>
      </w:r>
      <w:proofErr w:type="spellEnd"/>
      <w:r w:rsidRPr="000D3717">
        <w:rPr>
          <w:rFonts w:ascii="Times New Roman" w:eastAsia="MS Mincho" w:hAnsi="Times New Roman" w:cs="Times New Roman"/>
          <w:sz w:val="24"/>
          <w:szCs w:val="24"/>
        </w:rPr>
        <w:t xml:space="preserve"> që nuk janë të mjaftueshme për adresimin e problem</w:t>
      </w:r>
      <w:r w:rsidR="00525572" w:rsidRPr="000D3717">
        <w:rPr>
          <w:rFonts w:ascii="Times New Roman" w:eastAsia="MS Mincho" w:hAnsi="Times New Roman" w:cs="Times New Roman"/>
          <w:sz w:val="24"/>
          <w:szCs w:val="24"/>
        </w:rPr>
        <w:t>it</w:t>
      </w:r>
      <w:r w:rsidRPr="000D3717">
        <w:rPr>
          <w:rFonts w:ascii="Times New Roman" w:eastAsia="MS Mincho" w:hAnsi="Times New Roman" w:cs="Times New Roman"/>
          <w:sz w:val="24"/>
          <w:szCs w:val="24"/>
        </w:rPr>
        <w:t xml:space="preserve"> të identifikuara në këtë Koncept Dokument. Opsioni i vetëm që adreson Problemin Kryesor i identifikuara është opsioni i</w:t>
      </w:r>
      <w:r w:rsidR="00525572" w:rsidRPr="000D3717">
        <w:rPr>
          <w:rFonts w:ascii="Times New Roman" w:eastAsia="MS Mincho" w:hAnsi="Times New Roman" w:cs="Times New Roman"/>
          <w:sz w:val="24"/>
          <w:szCs w:val="24"/>
        </w:rPr>
        <w:t xml:space="preserve"> dyte “</w:t>
      </w:r>
      <w:r w:rsidR="00525572" w:rsidRPr="000D3717">
        <w:rPr>
          <w:rFonts w:ascii="Times New Roman" w:eastAsia="MS Mincho" w:hAnsi="Times New Roman" w:cs="Times New Roman"/>
          <w:b/>
          <w:sz w:val="24"/>
          <w:szCs w:val="24"/>
        </w:rPr>
        <w:t>Opsioni për përmirësimin e zbatimit dhe ekzekutimit t</w:t>
      </w:r>
      <w:r w:rsidR="00AD00F1">
        <w:rPr>
          <w:rFonts w:ascii="Times New Roman" w:eastAsia="MS Mincho" w:hAnsi="Times New Roman" w:cs="Times New Roman"/>
          <w:b/>
          <w:sz w:val="24"/>
          <w:szCs w:val="24"/>
        </w:rPr>
        <w:t>ë</w:t>
      </w:r>
      <w:r w:rsidR="00525572" w:rsidRPr="000D3717">
        <w:rPr>
          <w:rFonts w:ascii="Times New Roman" w:eastAsia="MS Mincho" w:hAnsi="Times New Roman" w:cs="Times New Roman"/>
          <w:b/>
          <w:sz w:val="24"/>
          <w:szCs w:val="24"/>
        </w:rPr>
        <w:t xml:space="preserve"> politikave dhe legjislacionit ekzistues”</w:t>
      </w:r>
      <w:r w:rsidRPr="000D3717">
        <w:rPr>
          <w:rFonts w:ascii="Times New Roman" w:eastAsia="MS Mincho" w:hAnsi="Times New Roman" w:cs="Times New Roman"/>
          <w:sz w:val="24"/>
          <w:szCs w:val="24"/>
        </w:rPr>
        <w:t xml:space="preserve"> </w:t>
      </w:r>
      <w:r w:rsidR="00525572" w:rsidRPr="000D3717">
        <w:rPr>
          <w:rFonts w:ascii="Times New Roman" w:eastAsia="MS Mincho" w:hAnsi="Times New Roman" w:cs="Times New Roman"/>
          <w:sz w:val="24"/>
          <w:szCs w:val="24"/>
        </w:rPr>
        <w:t xml:space="preserve">duke rekomanduar </w:t>
      </w:r>
      <w:r w:rsidRPr="000D3717">
        <w:rPr>
          <w:rFonts w:ascii="Times New Roman" w:eastAsia="MS Mincho" w:hAnsi="Times New Roman" w:cs="Times New Roman"/>
          <w:sz w:val="24"/>
          <w:szCs w:val="24"/>
        </w:rPr>
        <w:t>hartimi</w:t>
      </w:r>
      <w:r w:rsidR="00525572" w:rsidRPr="000D3717">
        <w:rPr>
          <w:rFonts w:ascii="Times New Roman" w:eastAsia="MS Mincho" w:hAnsi="Times New Roman" w:cs="Times New Roman"/>
          <w:sz w:val="24"/>
          <w:szCs w:val="24"/>
        </w:rPr>
        <w:t xml:space="preserve">n e </w:t>
      </w:r>
      <w:r w:rsidR="000767F8" w:rsidRPr="000D3717">
        <w:rPr>
          <w:rFonts w:ascii="Times New Roman" w:eastAsia="MS Mincho" w:hAnsi="Times New Roman" w:cs="Times New Roman"/>
          <w:sz w:val="24"/>
          <w:szCs w:val="24"/>
        </w:rPr>
        <w:t>një</w:t>
      </w:r>
      <w:r w:rsidRPr="000D3717">
        <w:rPr>
          <w:rFonts w:ascii="Times New Roman" w:eastAsia="MS Mincho" w:hAnsi="Times New Roman" w:cs="Times New Roman"/>
          <w:sz w:val="24"/>
          <w:szCs w:val="24"/>
        </w:rPr>
        <w:t xml:space="preserve"> Projektligjit t</w:t>
      </w:r>
      <w:r w:rsidR="00AD00F1">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ri për mbrojtjen e konkurrencës. </w:t>
      </w:r>
    </w:p>
    <w:p w14:paraId="2B3E5C7D" w14:textId="77777777" w:rsidR="0075339D" w:rsidRPr="000D3717" w:rsidRDefault="00180BB0" w:rsidP="00A46D67">
      <w:pPr>
        <w:pStyle w:val="Heading2"/>
        <w:rPr>
          <w:rFonts w:ascii="Times New Roman" w:hAnsi="Times New Roman" w:cs="Times New Roman"/>
          <w:sz w:val="24"/>
          <w:szCs w:val="24"/>
        </w:rPr>
      </w:pPr>
      <w:bookmarkStart w:id="11" w:name="_Toc532388156"/>
      <w:r w:rsidRPr="000D3717">
        <w:rPr>
          <w:rFonts w:ascii="Times New Roman" w:hAnsi="Times New Roman" w:cs="Times New Roman"/>
          <w:sz w:val="24"/>
          <w:szCs w:val="24"/>
        </w:rPr>
        <w:t>Kapitulli</w:t>
      </w:r>
      <w:r w:rsidR="00A46D67" w:rsidRPr="000D3717">
        <w:rPr>
          <w:rFonts w:ascii="Times New Roman" w:hAnsi="Times New Roman" w:cs="Times New Roman"/>
          <w:sz w:val="24"/>
          <w:szCs w:val="24"/>
        </w:rPr>
        <w:t xml:space="preserve"> 3.1: </w:t>
      </w:r>
      <w:r w:rsidR="00E32968" w:rsidRPr="000D3717">
        <w:rPr>
          <w:rFonts w:ascii="Times New Roman" w:hAnsi="Times New Roman" w:cs="Times New Roman"/>
          <w:sz w:val="24"/>
          <w:szCs w:val="24"/>
        </w:rPr>
        <w:t>Opsioni asnjë ndryshim</w:t>
      </w:r>
      <w:bookmarkEnd w:id="11"/>
    </w:p>
    <w:p w14:paraId="126EED8C" w14:textId="77777777" w:rsidR="000767F8" w:rsidRPr="000D3717" w:rsidRDefault="000767F8" w:rsidP="00695808">
      <w:pPr>
        <w:rPr>
          <w:rFonts w:ascii="Times New Roman" w:hAnsi="Times New Roman" w:cs="Times New Roman"/>
          <w:sz w:val="24"/>
          <w:szCs w:val="24"/>
        </w:rPr>
      </w:pPr>
    </w:p>
    <w:p w14:paraId="449BC7EF" w14:textId="28D16576" w:rsidR="006E3E48" w:rsidRPr="000D3717" w:rsidRDefault="000767F8" w:rsidP="000D3717">
      <w:pPr>
        <w:jc w:val="both"/>
        <w:rPr>
          <w:rFonts w:ascii="Times New Roman" w:hAnsi="Times New Roman" w:cs="Times New Roman"/>
          <w:sz w:val="24"/>
          <w:szCs w:val="24"/>
        </w:rPr>
      </w:pPr>
      <w:r w:rsidRPr="000D3717">
        <w:rPr>
          <w:rFonts w:ascii="Times New Roman" w:hAnsi="Times New Roman" w:cs="Times New Roman"/>
          <w:sz w:val="24"/>
          <w:szCs w:val="24"/>
        </w:rPr>
        <w:t>Opsioni asnjë ndryshim do t</w:t>
      </w:r>
      <w:r w:rsidR="00AD00F1">
        <w:rPr>
          <w:rFonts w:ascii="Times New Roman" w:hAnsi="Times New Roman" w:cs="Times New Roman"/>
          <w:sz w:val="24"/>
          <w:szCs w:val="24"/>
        </w:rPr>
        <w:t>ë</w:t>
      </w:r>
      <w:r w:rsidRPr="000D3717">
        <w:rPr>
          <w:rFonts w:ascii="Times New Roman" w:hAnsi="Times New Roman" w:cs="Times New Roman"/>
          <w:sz w:val="24"/>
          <w:szCs w:val="24"/>
        </w:rPr>
        <w:t xml:space="preserve"> ruante status </w:t>
      </w:r>
      <w:proofErr w:type="spellStart"/>
      <w:r w:rsidRPr="000D3717">
        <w:rPr>
          <w:rFonts w:ascii="Times New Roman" w:hAnsi="Times New Roman" w:cs="Times New Roman"/>
          <w:sz w:val="24"/>
          <w:szCs w:val="24"/>
        </w:rPr>
        <w:t>quon</w:t>
      </w:r>
      <w:proofErr w:type="spellEnd"/>
      <w:r w:rsidRPr="000D3717">
        <w:rPr>
          <w:rFonts w:ascii="Times New Roman" w:hAnsi="Times New Roman" w:cs="Times New Roman"/>
          <w:sz w:val="24"/>
          <w:szCs w:val="24"/>
        </w:rPr>
        <w:t xml:space="preserve"> dhe problemi ekzistues “</w:t>
      </w:r>
      <w:r w:rsidRPr="000D3717">
        <w:rPr>
          <w:rFonts w:ascii="Times New Roman" w:hAnsi="Times New Roman" w:cs="Times New Roman"/>
          <w:b/>
          <w:sz w:val="24"/>
          <w:szCs w:val="24"/>
        </w:rPr>
        <w:t>Vështirësi në funksionimin e lirë të tregut dhe mbrojtjen e konkurrencës</w:t>
      </w:r>
      <w:r w:rsidRPr="000D3717">
        <w:rPr>
          <w:rFonts w:ascii="Times New Roman" w:hAnsi="Times New Roman" w:cs="Times New Roman"/>
          <w:sz w:val="24"/>
          <w:szCs w:val="24"/>
        </w:rPr>
        <w:t>” do t</w:t>
      </w:r>
      <w:r w:rsidR="00AD00F1">
        <w:rPr>
          <w:rFonts w:ascii="Times New Roman" w:hAnsi="Times New Roman" w:cs="Times New Roman"/>
          <w:sz w:val="24"/>
          <w:szCs w:val="24"/>
        </w:rPr>
        <w:t>ë</w:t>
      </w:r>
      <w:r w:rsidRPr="000D3717">
        <w:rPr>
          <w:rFonts w:ascii="Times New Roman" w:hAnsi="Times New Roman" w:cs="Times New Roman"/>
          <w:sz w:val="24"/>
          <w:szCs w:val="24"/>
        </w:rPr>
        <w:t xml:space="preserve"> vazhdonte t</w:t>
      </w:r>
      <w:r w:rsidR="00AD00F1">
        <w:rPr>
          <w:rFonts w:ascii="Times New Roman" w:hAnsi="Times New Roman" w:cs="Times New Roman"/>
          <w:sz w:val="24"/>
          <w:szCs w:val="24"/>
        </w:rPr>
        <w:t>ë</w:t>
      </w:r>
      <w:r w:rsidRPr="000D3717">
        <w:rPr>
          <w:rFonts w:ascii="Times New Roman" w:hAnsi="Times New Roman" w:cs="Times New Roman"/>
          <w:sz w:val="24"/>
          <w:szCs w:val="24"/>
        </w:rPr>
        <w:t xml:space="preserve"> krijonte</w:t>
      </w:r>
      <w:r w:rsidR="004976EC" w:rsidRPr="000D3717">
        <w:rPr>
          <w:rFonts w:ascii="Times New Roman" w:hAnsi="Times New Roman" w:cs="Times New Roman"/>
          <w:sz w:val="24"/>
          <w:szCs w:val="24"/>
        </w:rPr>
        <w:t xml:space="preserve"> efekte</w:t>
      </w:r>
      <w:r w:rsidR="0008062E" w:rsidRPr="000D3717">
        <w:rPr>
          <w:rFonts w:ascii="Times New Roman" w:hAnsi="Times New Roman" w:cs="Times New Roman"/>
          <w:sz w:val="24"/>
          <w:szCs w:val="24"/>
        </w:rPr>
        <w:t xml:space="preserve"> nga </w:t>
      </w:r>
      <w:r w:rsidR="004976EC" w:rsidRPr="000D3717">
        <w:rPr>
          <w:rFonts w:ascii="Times New Roman" w:hAnsi="Times New Roman" w:cs="Times New Roman"/>
          <w:sz w:val="24"/>
          <w:szCs w:val="24"/>
        </w:rPr>
        <w:t>shkaqet e identifikuara n</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këtë Koncept Dokument. Rrjedhimisht </w:t>
      </w:r>
      <w:r w:rsidRPr="000D3717">
        <w:rPr>
          <w:rFonts w:ascii="Times New Roman" w:hAnsi="Times New Roman" w:cs="Times New Roman"/>
          <w:sz w:val="24"/>
          <w:szCs w:val="24"/>
        </w:rPr>
        <w:t xml:space="preserve"> </w:t>
      </w:r>
      <w:r w:rsidR="004976EC" w:rsidRPr="000D3717">
        <w:rPr>
          <w:rFonts w:ascii="Times New Roman" w:hAnsi="Times New Roman" w:cs="Times New Roman"/>
          <w:sz w:val="24"/>
          <w:szCs w:val="24"/>
        </w:rPr>
        <w:t xml:space="preserve">do </w:t>
      </w:r>
      <w:r w:rsidR="0008062E" w:rsidRPr="000D3717">
        <w:rPr>
          <w:rFonts w:ascii="Times New Roman" w:hAnsi="Times New Roman" w:cs="Times New Roman"/>
          <w:sz w:val="24"/>
          <w:szCs w:val="24"/>
        </w:rPr>
        <w:t>t</w:t>
      </w:r>
      <w:r w:rsidR="00AD00F1">
        <w:rPr>
          <w:rFonts w:ascii="Times New Roman" w:hAnsi="Times New Roman" w:cs="Times New Roman"/>
          <w:sz w:val="24"/>
          <w:szCs w:val="24"/>
        </w:rPr>
        <w:t>ë</w:t>
      </w:r>
      <w:r w:rsidR="0008062E" w:rsidRPr="000D3717">
        <w:rPr>
          <w:rFonts w:ascii="Times New Roman" w:hAnsi="Times New Roman" w:cs="Times New Roman"/>
          <w:sz w:val="24"/>
          <w:szCs w:val="24"/>
        </w:rPr>
        <w:t xml:space="preserve"> vazhdojmë</w:t>
      </w:r>
      <w:r w:rsidR="004976EC" w:rsidRPr="000D3717">
        <w:rPr>
          <w:rFonts w:ascii="Times New Roman" w:hAnsi="Times New Roman" w:cs="Times New Roman"/>
          <w:sz w:val="24"/>
          <w:szCs w:val="24"/>
        </w:rPr>
        <w:t xml:space="preserve">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kemi vakume ligjore dhe </w:t>
      </w:r>
      <w:r w:rsidR="0008062E" w:rsidRPr="000D3717">
        <w:rPr>
          <w:rFonts w:ascii="Times New Roman" w:hAnsi="Times New Roman" w:cs="Times New Roman"/>
          <w:sz w:val="24"/>
          <w:szCs w:val="24"/>
        </w:rPr>
        <w:t>institucionale</w:t>
      </w:r>
      <w:r w:rsidR="004976EC" w:rsidRPr="000D3717">
        <w:rPr>
          <w:rFonts w:ascii="Times New Roman" w:hAnsi="Times New Roman" w:cs="Times New Roman"/>
          <w:sz w:val="24"/>
          <w:szCs w:val="24"/>
        </w:rPr>
        <w:t xml:space="preserve">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cilat do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ndikonin n</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w:t>
      </w:r>
      <w:r w:rsidR="0008062E" w:rsidRPr="000D3717">
        <w:rPr>
          <w:rFonts w:ascii="Times New Roman" w:hAnsi="Times New Roman" w:cs="Times New Roman"/>
          <w:sz w:val="24"/>
          <w:szCs w:val="24"/>
        </w:rPr>
        <w:t>vendimmarrjen</w:t>
      </w:r>
      <w:r w:rsidR="004976EC" w:rsidRPr="000D3717">
        <w:rPr>
          <w:rFonts w:ascii="Times New Roman" w:hAnsi="Times New Roman" w:cs="Times New Roman"/>
          <w:sz w:val="24"/>
          <w:szCs w:val="24"/>
        </w:rPr>
        <w:t xml:space="preserve"> e punues s</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AKK duke ndikuar n</w:t>
      </w:r>
      <w:r w:rsidR="00E56588">
        <w:rPr>
          <w:rFonts w:ascii="Times New Roman" w:hAnsi="Times New Roman" w:cs="Times New Roman"/>
          <w:sz w:val="24"/>
          <w:szCs w:val="24"/>
        </w:rPr>
        <w:t>ë</w:t>
      </w:r>
      <w:r w:rsidR="004976EC" w:rsidRPr="000D3717">
        <w:rPr>
          <w:rFonts w:ascii="Times New Roman" w:hAnsi="Times New Roman" w:cs="Times New Roman"/>
          <w:sz w:val="24"/>
          <w:szCs w:val="24"/>
        </w:rPr>
        <w:t xml:space="preserve"> mos</w:t>
      </w:r>
      <w:r w:rsidR="0008062E" w:rsidRPr="000D3717">
        <w:rPr>
          <w:rFonts w:ascii="Times New Roman" w:hAnsi="Times New Roman" w:cs="Times New Roman"/>
          <w:sz w:val="24"/>
          <w:szCs w:val="24"/>
        </w:rPr>
        <w:t xml:space="preserve"> efikasitetin</w:t>
      </w:r>
      <w:r w:rsidR="004976EC" w:rsidRPr="000D3717">
        <w:rPr>
          <w:rFonts w:ascii="Times New Roman" w:hAnsi="Times New Roman" w:cs="Times New Roman"/>
          <w:sz w:val="24"/>
          <w:szCs w:val="24"/>
        </w:rPr>
        <w:t xml:space="preserve"> e këtij institucioni. Gjithashtu do</w:t>
      </w:r>
      <w:r w:rsidR="008753CB">
        <w:rPr>
          <w:rFonts w:ascii="Times New Roman" w:hAnsi="Times New Roman" w:cs="Times New Roman"/>
          <w:sz w:val="24"/>
          <w:szCs w:val="24"/>
        </w:rPr>
        <w:t xml:space="preserve"> të </w:t>
      </w:r>
      <w:r w:rsidR="004976EC" w:rsidRPr="000D3717">
        <w:rPr>
          <w:rFonts w:ascii="Times New Roman" w:hAnsi="Times New Roman" w:cs="Times New Roman"/>
          <w:sz w:val="24"/>
          <w:szCs w:val="24"/>
        </w:rPr>
        <w:t>vazhdonim</w:t>
      </w:r>
      <w:r w:rsidR="008753CB">
        <w:rPr>
          <w:rFonts w:ascii="Times New Roman" w:hAnsi="Times New Roman" w:cs="Times New Roman"/>
          <w:sz w:val="24"/>
          <w:szCs w:val="24"/>
        </w:rPr>
        <w:t xml:space="preserve"> të </w:t>
      </w:r>
      <w:r w:rsidR="0008062E" w:rsidRPr="000D3717">
        <w:rPr>
          <w:rFonts w:ascii="Times New Roman" w:hAnsi="Times New Roman" w:cs="Times New Roman"/>
          <w:sz w:val="24"/>
          <w:szCs w:val="24"/>
        </w:rPr>
        <w:t>kishim</w:t>
      </w:r>
      <w:r w:rsidR="004976EC" w:rsidRPr="000D3717">
        <w:rPr>
          <w:rFonts w:ascii="Times New Roman" w:hAnsi="Times New Roman" w:cs="Times New Roman"/>
          <w:sz w:val="24"/>
          <w:szCs w:val="24"/>
        </w:rPr>
        <w:t xml:space="preserve"> </w:t>
      </w:r>
      <w:proofErr w:type="spellStart"/>
      <w:r w:rsidR="004976EC" w:rsidRPr="000D3717">
        <w:rPr>
          <w:rFonts w:ascii="Times New Roman" w:hAnsi="Times New Roman" w:cs="Times New Roman"/>
          <w:sz w:val="24"/>
          <w:szCs w:val="24"/>
        </w:rPr>
        <w:t>konfuzitete</w:t>
      </w:r>
      <w:proofErr w:type="spellEnd"/>
      <w:r w:rsidR="004976EC" w:rsidRPr="000D3717">
        <w:rPr>
          <w:rFonts w:ascii="Times New Roman" w:hAnsi="Times New Roman" w:cs="Times New Roman"/>
          <w:sz w:val="24"/>
          <w:szCs w:val="24"/>
        </w:rPr>
        <w:t xml:space="preserve">, pasiguri juridike dhe </w:t>
      </w:r>
      <w:proofErr w:type="spellStart"/>
      <w:r w:rsidR="004976EC" w:rsidRPr="000D3717">
        <w:rPr>
          <w:rFonts w:ascii="Times New Roman" w:hAnsi="Times New Roman" w:cs="Times New Roman"/>
          <w:sz w:val="24"/>
          <w:szCs w:val="24"/>
        </w:rPr>
        <w:t>dublifikim</w:t>
      </w:r>
      <w:proofErr w:type="spellEnd"/>
      <w:r w:rsidR="008753CB">
        <w:rPr>
          <w:rFonts w:ascii="Times New Roman" w:hAnsi="Times New Roman" w:cs="Times New Roman"/>
          <w:sz w:val="24"/>
          <w:szCs w:val="24"/>
        </w:rPr>
        <w:t xml:space="preserve"> të </w:t>
      </w:r>
      <w:r w:rsidR="004976EC" w:rsidRPr="000D3717">
        <w:rPr>
          <w:rFonts w:ascii="Times New Roman" w:hAnsi="Times New Roman" w:cs="Times New Roman"/>
          <w:sz w:val="24"/>
          <w:szCs w:val="24"/>
        </w:rPr>
        <w:t xml:space="preserve">vendimeve. Kjo status </w:t>
      </w:r>
      <w:proofErr w:type="spellStart"/>
      <w:r w:rsidR="004976EC" w:rsidRPr="000D3717">
        <w:rPr>
          <w:rFonts w:ascii="Times New Roman" w:hAnsi="Times New Roman" w:cs="Times New Roman"/>
          <w:sz w:val="24"/>
          <w:szCs w:val="24"/>
        </w:rPr>
        <w:t>quo</w:t>
      </w:r>
      <w:proofErr w:type="spellEnd"/>
      <w:r w:rsidR="004976EC" w:rsidRPr="000D3717">
        <w:rPr>
          <w:rFonts w:ascii="Times New Roman" w:hAnsi="Times New Roman" w:cs="Times New Roman"/>
          <w:sz w:val="24"/>
          <w:szCs w:val="24"/>
        </w:rPr>
        <w:t xml:space="preserve"> do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sillte vakume institucionale n</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pozita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cilat ndikojnë n</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funksionimin normal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AKK</w:t>
      </w:r>
      <w:r w:rsidR="00AD00F1">
        <w:rPr>
          <w:rFonts w:ascii="Times New Roman" w:hAnsi="Times New Roman" w:cs="Times New Roman"/>
          <w:sz w:val="24"/>
          <w:szCs w:val="24"/>
        </w:rPr>
        <w:t>-së</w:t>
      </w:r>
      <w:r w:rsidR="004976EC" w:rsidRPr="000D3717">
        <w:rPr>
          <w:rFonts w:ascii="Times New Roman" w:hAnsi="Times New Roman" w:cs="Times New Roman"/>
          <w:sz w:val="24"/>
          <w:szCs w:val="24"/>
        </w:rPr>
        <w:t xml:space="preserve">. </w:t>
      </w:r>
      <w:r w:rsidR="0008062E" w:rsidRPr="000D3717">
        <w:rPr>
          <w:rFonts w:ascii="Times New Roman" w:hAnsi="Times New Roman" w:cs="Times New Roman"/>
          <w:sz w:val="24"/>
          <w:szCs w:val="24"/>
        </w:rPr>
        <w:t>Një</w:t>
      </w:r>
      <w:r w:rsidR="004976EC" w:rsidRPr="000D3717">
        <w:rPr>
          <w:rFonts w:ascii="Times New Roman" w:hAnsi="Times New Roman" w:cs="Times New Roman"/>
          <w:sz w:val="24"/>
          <w:szCs w:val="24"/>
        </w:rPr>
        <w:t xml:space="preserve"> efekt tjetër i pa dëshiruar </w:t>
      </w:r>
      <w:r w:rsidR="0008062E" w:rsidRPr="000D3717">
        <w:rPr>
          <w:rFonts w:ascii="Times New Roman" w:hAnsi="Times New Roman" w:cs="Times New Roman"/>
          <w:sz w:val="24"/>
          <w:szCs w:val="24"/>
        </w:rPr>
        <w:t>do t</w:t>
      </w:r>
      <w:r w:rsidR="00AD00F1">
        <w:rPr>
          <w:rFonts w:ascii="Times New Roman" w:hAnsi="Times New Roman" w:cs="Times New Roman"/>
          <w:sz w:val="24"/>
          <w:szCs w:val="24"/>
        </w:rPr>
        <w:t>ë</w:t>
      </w:r>
      <w:r w:rsidR="0008062E" w:rsidRPr="000D3717">
        <w:rPr>
          <w:rFonts w:ascii="Times New Roman" w:hAnsi="Times New Roman" w:cs="Times New Roman"/>
          <w:sz w:val="24"/>
          <w:szCs w:val="24"/>
        </w:rPr>
        <w:t xml:space="preserve"> ish</w:t>
      </w:r>
      <w:r w:rsidR="004976EC" w:rsidRPr="000D3717">
        <w:rPr>
          <w:rFonts w:ascii="Times New Roman" w:hAnsi="Times New Roman" w:cs="Times New Roman"/>
          <w:sz w:val="24"/>
          <w:szCs w:val="24"/>
        </w:rPr>
        <w:t>te zvarritja e lendeve n</w:t>
      </w:r>
      <w:r w:rsidR="00E56588">
        <w:rPr>
          <w:rFonts w:ascii="Times New Roman" w:hAnsi="Times New Roman" w:cs="Times New Roman"/>
          <w:sz w:val="24"/>
          <w:szCs w:val="24"/>
        </w:rPr>
        <w:t>ë</w:t>
      </w:r>
      <w:r w:rsidR="004976EC" w:rsidRPr="000D3717">
        <w:rPr>
          <w:rFonts w:ascii="Times New Roman" w:hAnsi="Times New Roman" w:cs="Times New Roman"/>
          <w:sz w:val="24"/>
          <w:szCs w:val="24"/>
        </w:rPr>
        <w:t>p</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r gjykata, duke zvogëluar rolin </w:t>
      </w:r>
      <w:r w:rsidR="0008062E" w:rsidRPr="000D3717">
        <w:rPr>
          <w:rFonts w:ascii="Times New Roman" w:hAnsi="Times New Roman" w:cs="Times New Roman"/>
          <w:sz w:val="24"/>
          <w:szCs w:val="24"/>
        </w:rPr>
        <w:t>ekzekutiv</w:t>
      </w:r>
      <w:r w:rsidR="004976EC" w:rsidRPr="000D3717">
        <w:rPr>
          <w:rFonts w:ascii="Times New Roman" w:hAnsi="Times New Roman" w:cs="Times New Roman"/>
          <w:sz w:val="24"/>
          <w:szCs w:val="24"/>
        </w:rPr>
        <w:t xml:space="preserve">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AKK </w:t>
      </w:r>
      <w:r w:rsidR="0008062E" w:rsidRPr="000D3717">
        <w:rPr>
          <w:rFonts w:ascii="Times New Roman" w:hAnsi="Times New Roman" w:cs="Times New Roman"/>
          <w:sz w:val="24"/>
          <w:szCs w:val="24"/>
        </w:rPr>
        <w:t xml:space="preserve">dhe duke krijuar paqartësi sa i përket kompetencave institucionale. </w:t>
      </w:r>
      <w:r w:rsidR="004976EC" w:rsidRPr="000D3717">
        <w:rPr>
          <w:rFonts w:ascii="Times New Roman" w:hAnsi="Times New Roman" w:cs="Times New Roman"/>
          <w:sz w:val="24"/>
          <w:szCs w:val="24"/>
        </w:rPr>
        <w:t>Si pasoje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gjitha efektet do t</w:t>
      </w:r>
      <w:r w:rsidR="00AD00F1">
        <w:rPr>
          <w:rFonts w:ascii="Times New Roman" w:hAnsi="Times New Roman" w:cs="Times New Roman"/>
          <w:sz w:val="24"/>
          <w:szCs w:val="24"/>
        </w:rPr>
        <w:t>ë</w:t>
      </w:r>
      <w:r w:rsidR="0008062E" w:rsidRPr="000D3717">
        <w:rPr>
          <w:rFonts w:ascii="Times New Roman" w:hAnsi="Times New Roman" w:cs="Times New Roman"/>
          <w:sz w:val="24"/>
          <w:szCs w:val="24"/>
        </w:rPr>
        <w:t xml:space="preserve"> cenonin konkurrencën dhe</w:t>
      </w:r>
      <w:r w:rsidR="004976EC" w:rsidRPr="000D3717">
        <w:rPr>
          <w:rFonts w:ascii="Times New Roman" w:hAnsi="Times New Roman" w:cs="Times New Roman"/>
          <w:sz w:val="24"/>
          <w:szCs w:val="24"/>
        </w:rPr>
        <w:t xml:space="preserve"> sillnin </w:t>
      </w:r>
      <w:r w:rsidR="0008062E" w:rsidRPr="000D3717">
        <w:rPr>
          <w:rFonts w:ascii="Times New Roman" w:hAnsi="Times New Roman" w:cs="Times New Roman"/>
          <w:sz w:val="24"/>
          <w:szCs w:val="24"/>
        </w:rPr>
        <w:t>një</w:t>
      </w:r>
      <w:r w:rsidR="004976EC" w:rsidRPr="000D3717">
        <w:rPr>
          <w:rFonts w:ascii="Times New Roman" w:hAnsi="Times New Roman" w:cs="Times New Roman"/>
          <w:sz w:val="24"/>
          <w:szCs w:val="24"/>
        </w:rPr>
        <w:t xml:space="preserve"> çrregullim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tregut t</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lir</w:t>
      </w:r>
      <w:r w:rsidR="00AD00F1">
        <w:rPr>
          <w:rFonts w:ascii="Times New Roman" w:hAnsi="Times New Roman" w:cs="Times New Roman"/>
          <w:sz w:val="24"/>
          <w:szCs w:val="24"/>
        </w:rPr>
        <w:t>ë</w:t>
      </w:r>
      <w:r w:rsidR="004976EC" w:rsidRPr="000D3717">
        <w:rPr>
          <w:rFonts w:ascii="Times New Roman" w:hAnsi="Times New Roman" w:cs="Times New Roman"/>
          <w:sz w:val="24"/>
          <w:szCs w:val="24"/>
        </w:rPr>
        <w:t xml:space="preserve"> duke dëmtuar konsumatorin dhe funksionin e ndërmarrjeve. </w:t>
      </w:r>
    </w:p>
    <w:p w14:paraId="2751FEE2" w14:textId="77777777" w:rsidR="0075339D" w:rsidRPr="000D3717" w:rsidRDefault="00180BB0" w:rsidP="00A46D67">
      <w:pPr>
        <w:pStyle w:val="Heading2"/>
        <w:rPr>
          <w:rFonts w:ascii="Times New Roman" w:hAnsi="Times New Roman" w:cs="Times New Roman"/>
          <w:sz w:val="24"/>
          <w:szCs w:val="24"/>
        </w:rPr>
      </w:pPr>
      <w:bookmarkStart w:id="12" w:name="_Toc532388157"/>
      <w:r w:rsidRPr="000D3717">
        <w:rPr>
          <w:rFonts w:ascii="Times New Roman" w:hAnsi="Times New Roman" w:cs="Times New Roman"/>
          <w:sz w:val="24"/>
          <w:szCs w:val="24"/>
        </w:rPr>
        <w:t>Kapitulli</w:t>
      </w:r>
      <w:r w:rsidR="00A46D67" w:rsidRPr="000D3717">
        <w:rPr>
          <w:rFonts w:ascii="Times New Roman" w:hAnsi="Times New Roman" w:cs="Times New Roman"/>
          <w:sz w:val="24"/>
          <w:szCs w:val="24"/>
        </w:rPr>
        <w:t xml:space="preserve"> 3.2: </w:t>
      </w:r>
      <w:r w:rsidR="00E32968" w:rsidRPr="000D3717">
        <w:rPr>
          <w:rFonts w:ascii="Times New Roman" w:hAnsi="Times New Roman" w:cs="Times New Roman"/>
          <w:sz w:val="24"/>
          <w:szCs w:val="24"/>
        </w:rPr>
        <w:t>Opsioni për përmirësimin e zbatimit dhe ekzekutimit</w:t>
      </w:r>
      <w:bookmarkEnd w:id="12"/>
    </w:p>
    <w:p w14:paraId="0FABDC87" w14:textId="77777777" w:rsidR="009A19F9" w:rsidRPr="000D3717" w:rsidRDefault="009A19F9" w:rsidP="00A61B6E">
      <w:pPr>
        <w:rPr>
          <w:rFonts w:ascii="Times New Roman" w:hAnsi="Times New Roman" w:cs="Times New Roman"/>
          <w:sz w:val="24"/>
          <w:szCs w:val="24"/>
        </w:rPr>
      </w:pPr>
    </w:p>
    <w:p w14:paraId="4F37D1E7" w14:textId="76FF24C2" w:rsidR="009E1A07" w:rsidRPr="000D3717" w:rsidRDefault="00CB1E7D" w:rsidP="00695808">
      <w:pPr>
        <w:jc w:val="both"/>
        <w:rPr>
          <w:rFonts w:ascii="Times New Roman" w:hAnsi="Times New Roman" w:cs="Times New Roman"/>
          <w:sz w:val="24"/>
          <w:szCs w:val="24"/>
        </w:rPr>
      </w:pPr>
      <w:r w:rsidRPr="000D3717">
        <w:rPr>
          <w:rFonts w:ascii="Times New Roman" w:hAnsi="Times New Roman" w:cs="Times New Roman"/>
          <w:sz w:val="24"/>
          <w:szCs w:val="24"/>
        </w:rPr>
        <w:t>Problemi q</w:t>
      </w:r>
      <w:r w:rsidR="00E56588">
        <w:rPr>
          <w:rFonts w:ascii="Times New Roman" w:hAnsi="Times New Roman" w:cs="Times New Roman"/>
          <w:sz w:val="24"/>
          <w:szCs w:val="24"/>
        </w:rPr>
        <w:t>ë</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identifikuar n</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këtë</w:t>
      </w:r>
      <w:r w:rsidRPr="000D3717">
        <w:rPr>
          <w:rFonts w:ascii="Times New Roman" w:hAnsi="Times New Roman" w:cs="Times New Roman"/>
          <w:sz w:val="24"/>
          <w:szCs w:val="24"/>
        </w:rPr>
        <w:t xml:space="preserve"> Koncept </w:t>
      </w:r>
      <w:r w:rsidR="006D4F74" w:rsidRPr="000D3717">
        <w:rPr>
          <w:rFonts w:ascii="Times New Roman" w:hAnsi="Times New Roman" w:cs="Times New Roman"/>
          <w:sz w:val="24"/>
          <w:szCs w:val="24"/>
        </w:rPr>
        <w:t>Dokument</w:t>
      </w:r>
      <w:r w:rsidRPr="000D3717">
        <w:rPr>
          <w:rFonts w:ascii="Times New Roman" w:hAnsi="Times New Roman" w:cs="Times New Roman"/>
          <w:sz w:val="24"/>
          <w:szCs w:val="24"/>
        </w:rPr>
        <w:t xml:space="preserve"> “</w:t>
      </w:r>
      <w:r w:rsidRPr="000D3717">
        <w:rPr>
          <w:rFonts w:ascii="Times New Roman" w:hAnsi="Times New Roman" w:cs="Times New Roman"/>
          <w:b/>
          <w:sz w:val="24"/>
          <w:szCs w:val="24"/>
        </w:rPr>
        <w:t>Vështirësi në funksionimin e lirë të tregut dhe mbrojtjen e konkurrencës</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kryesisht i ndërlidhur me bazën aktuale ligjore. </w:t>
      </w:r>
      <w:r w:rsidR="006D4F74" w:rsidRPr="000D3717">
        <w:rPr>
          <w:rFonts w:ascii="Times New Roman" w:hAnsi="Times New Roman" w:cs="Times New Roman"/>
          <w:sz w:val="24"/>
          <w:szCs w:val="24"/>
        </w:rPr>
        <w:t>Rrjedhimisht</w:t>
      </w:r>
      <w:r w:rsidRPr="000D3717">
        <w:rPr>
          <w:rFonts w:ascii="Times New Roman" w:hAnsi="Times New Roman" w:cs="Times New Roman"/>
          <w:sz w:val="24"/>
          <w:szCs w:val="24"/>
        </w:rPr>
        <w:t>, çfarëdo përmirësimi n</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zbatimin dhe </w:t>
      </w:r>
      <w:r w:rsidR="006D4F74" w:rsidRPr="000D3717">
        <w:rPr>
          <w:rFonts w:ascii="Times New Roman" w:hAnsi="Times New Roman" w:cs="Times New Roman"/>
          <w:sz w:val="24"/>
          <w:szCs w:val="24"/>
        </w:rPr>
        <w:t>ekzekutimin</w:t>
      </w:r>
      <w:r w:rsidRPr="000D3717">
        <w:rPr>
          <w:rFonts w:ascii="Times New Roman" w:hAnsi="Times New Roman" w:cs="Times New Roman"/>
          <w:sz w:val="24"/>
          <w:szCs w:val="24"/>
        </w:rPr>
        <w:t xml:space="preserve"> e dispozitave përkatëse ligjore do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prodhonin </w:t>
      </w:r>
      <w:r w:rsidR="006D4F74" w:rsidRPr="000D3717">
        <w:rPr>
          <w:rFonts w:ascii="Times New Roman" w:hAnsi="Times New Roman" w:cs="Times New Roman"/>
          <w:sz w:val="24"/>
          <w:szCs w:val="24"/>
        </w:rPr>
        <w:t>zgjidhje</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problemin e identifikuar. Andaj ky opsion </w:t>
      </w:r>
      <w:r w:rsidR="006D4F74"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i rekomanduar nga grupi punues i Koncept Dokumentit. </w:t>
      </w:r>
      <w:r w:rsidR="006D4F74" w:rsidRPr="000D3717">
        <w:rPr>
          <w:rFonts w:ascii="Times New Roman" w:hAnsi="Times New Roman" w:cs="Times New Roman"/>
          <w:sz w:val="24"/>
          <w:szCs w:val="24"/>
        </w:rPr>
        <w:t>Përmes</w:t>
      </w:r>
      <w:r w:rsidRPr="000D3717">
        <w:rPr>
          <w:rFonts w:ascii="Times New Roman" w:hAnsi="Times New Roman" w:cs="Times New Roman"/>
          <w:sz w:val="24"/>
          <w:szCs w:val="24"/>
        </w:rPr>
        <w:t xml:space="preserve"> këtij opsion</w:t>
      </w:r>
      <w:r w:rsidR="00071C60">
        <w:rPr>
          <w:rFonts w:ascii="Times New Roman" w:hAnsi="Times New Roman" w:cs="Times New Roman"/>
          <w:sz w:val="24"/>
          <w:szCs w:val="24"/>
        </w:rPr>
        <w:t>i</w:t>
      </w:r>
      <w:r w:rsidRPr="000D3717">
        <w:rPr>
          <w:rFonts w:ascii="Times New Roman" w:hAnsi="Times New Roman" w:cs="Times New Roman"/>
          <w:sz w:val="24"/>
          <w:szCs w:val="24"/>
        </w:rPr>
        <w:t xml:space="preserve"> synohet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arrihet ndryshimi i politikave ekzistuese, përmes hartimit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Ligjit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ri </w:t>
      </w:r>
      <w:r w:rsidR="006D4F74"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mbrojtjen e konkurrencës, i cili do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duhet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merrte</w:t>
      </w:r>
      <w:r w:rsidRPr="000D3717">
        <w:rPr>
          <w:rFonts w:ascii="Times New Roman" w:hAnsi="Times New Roman" w:cs="Times New Roman"/>
          <w:sz w:val="24"/>
          <w:szCs w:val="24"/>
        </w:rPr>
        <w:t xml:space="preserve"> </w:t>
      </w:r>
      <w:r w:rsidR="006D4F74"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baze rekomandimet e m</w:t>
      </w:r>
      <w:r w:rsidR="00E56588">
        <w:rPr>
          <w:rFonts w:ascii="Times New Roman" w:hAnsi="Times New Roman" w:cs="Times New Roman"/>
          <w:sz w:val="24"/>
          <w:szCs w:val="24"/>
        </w:rPr>
        <w:t>ë</w:t>
      </w:r>
      <w:r w:rsidRPr="000D3717">
        <w:rPr>
          <w:rFonts w:ascii="Times New Roman" w:hAnsi="Times New Roman" w:cs="Times New Roman"/>
          <w:sz w:val="24"/>
          <w:szCs w:val="24"/>
        </w:rPr>
        <w:t xml:space="preserve"> poshtë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dala nga </w:t>
      </w:r>
      <w:r w:rsidR="006D4F74" w:rsidRPr="000D3717">
        <w:rPr>
          <w:rFonts w:ascii="Times New Roman" w:hAnsi="Times New Roman" w:cs="Times New Roman"/>
          <w:sz w:val="24"/>
          <w:szCs w:val="24"/>
        </w:rPr>
        <w:t xml:space="preserve">analiza e </w:t>
      </w:r>
      <w:r w:rsidR="007602F2" w:rsidRPr="000D3717">
        <w:rPr>
          <w:rFonts w:ascii="Times New Roman" w:hAnsi="Times New Roman" w:cs="Times New Roman"/>
          <w:sz w:val="24"/>
          <w:szCs w:val="24"/>
        </w:rPr>
        <w:t>këtij</w:t>
      </w:r>
      <w:r w:rsidRPr="000D3717">
        <w:rPr>
          <w:rFonts w:ascii="Times New Roman" w:hAnsi="Times New Roman" w:cs="Times New Roman"/>
          <w:sz w:val="24"/>
          <w:szCs w:val="24"/>
        </w:rPr>
        <w:t xml:space="preserve"> Koncept Dokument</w:t>
      </w:r>
      <w:r w:rsidR="007602F2" w:rsidRPr="000D3717">
        <w:rPr>
          <w:rFonts w:ascii="Times New Roman" w:hAnsi="Times New Roman" w:cs="Times New Roman"/>
          <w:sz w:val="24"/>
          <w:szCs w:val="24"/>
        </w:rPr>
        <w:t>i</w:t>
      </w:r>
      <w:r w:rsidRPr="000D3717">
        <w:rPr>
          <w:rFonts w:ascii="Times New Roman" w:hAnsi="Times New Roman" w:cs="Times New Roman"/>
          <w:sz w:val="24"/>
          <w:szCs w:val="24"/>
        </w:rPr>
        <w:t>:</w:t>
      </w:r>
    </w:p>
    <w:p w14:paraId="2B7C60DD" w14:textId="5EA9C27A"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lastRenderedPageBreak/>
        <w:t>Përjashtimet nga marrëveshjet e ndaluara grupore do të duhej që të rregullohen veç e veç, me akte nënligjore të cilat do të specifikoheshin në nenin e përjashtimeve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ndaluara siç janë : Përjashtim i marrëveshjeve Horizontale, Përjashtimi i marrëveshjeve  Vertikale, Përjashtimi i marrëveshjeve të sigurimeve, përjashtimi i marrëveshjeve për bartjen e teknologjisë etj.  Të fshihen nenet 5, 6 dhe 7 dhe të përfshihen në nenin që ka të bëjë me lejimin e përjashtimeve grupore duke i specifikuar aktet nënligjore që do të rregullonin,  kushtet që duhet t’i përmbushin  marrëveshjet  dhe ato që nuk guxon t’i kenë për t’u përjashtuar në grup. Vlen të theksohet se ky ri</w:t>
      </w:r>
      <w:r w:rsidR="00E56588">
        <w:rPr>
          <w:rFonts w:ascii="Times New Roman" w:hAnsi="Times New Roman" w:cs="Times New Roman"/>
          <w:sz w:val="24"/>
          <w:szCs w:val="24"/>
        </w:rPr>
        <w:t>-</w:t>
      </w:r>
      <w:r w:rsidRPr="000D3717">
        <w:rPr>
          <w:rFonts w:ascii="Times New Roman" w:hAnsi="Times New Roman" w:cs="Times New Roman"/>
          <w:sz w:val="24"/>
          <w:szCs w:val="24"/>
        </w:rPr>
        <w:t xml:space="preserve">rregullim ligjorë ka </w:t>
      </w:r>
      <w:proofErr w:type="spellStart"/>
      <w:r w:rsidRPr="000D3717">
        <w:rPr>
          <w:rFonts w:ascii="Times New Roman" w:hAnsi="Times New Roman" w:cs="Times New Roman"/>
          <w:sz w:val="24"/>
          <w:szCs w:val="24"/>
        </w:rPr>
        <w:t>gjet</w:t>
      </w:r>
      <w:r w:rsidR="00E56588">
        <w:rPr>
          <w:rFonts w:ascii="Times New Roman" w:hAnsi="Times New Roman" w:cs="Times New Roman"/>
          <w:sz w:val="24"/>
          <w:szCs w:val="24"/>
        </w:rPr>
        <w:t>ë</w:t>
      </w:r>
      <w:proofErr w:type="spellEnd"/>
      <w:r w:rsidRPr="000D3717">
        <w:rPr>
          <w:rFonts w:ascii="Times New Roman" w:hAnsi="Times New Roman" w:cs="Times New Roman"/>
          <w:sz w:val="24"/>
          <w:szCs w:val="24"/>
        </w:rPr>
        <w:t xml:space="preserve"> shprehje si  në Direktivat Evropiane ashtu edhe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shumica e shteteve që janë në fazën e </w:t>
      </w:r>
      <w:proofErr w:type="spellStart"/>
      <w:r w:rsidRPr="000D3717">
        <w:rPr>
          <w:rFonts w:ascii="Times New Roman" w:hAnsi="Times New Roman" w:cs="Times New Roman"/>
          <w:sz w:val="24"/>
          <w:szCs w:val="24"/>
        </w:rPr>
        <w:t>tranzicionit</w:t>
      </w:r>
      <w:proofErr w:type="spellEnd"/>
      <w:r w:rsidRPr="000D3717">
        <w:rPr>
          <w:rFonts w:ascii="Times New Roman" w:hAnsi="Times New Roman" w:cs="Times New Roman"/>
          <w:sz w:val="24"/>
          <w:szCs w:val="24"/>
        </w:rPr>
        <w:t>.</w:t>
      </w:r>
    </w:p>
    <w:p w14:paraId="5D9CBEDF" w14:textId="31969E7C"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Mungese e </w:t>
      </w:r>
      <w:proofErr w:type="spellStart"/>
      <w:r w:rsidRPr="000D3717">
        <w:rPr>
          <w:rFonts w:ascii="Times New Roman" w:hAnsi="Times New Roman" w:cs="Times New Roman"/>
          <w:sz w:val="24"/>
          <w:szCs w:val="24"/>
        </w:rPr>
        <w:t>definimit</w:t>
      </w:r>
      <w:proofErr w:type="spellEnd"/>
      <w:r w:rsidRPr="000D3717">
        <w:rPr>
          <w:rFonts w:ascii="Times New Roman" w:hAnsi="Times New Roman" w:cs="Times New Roman"/>
          <w:sz w:val="24"/>
          <w:szCs w:val="24"/>
        </w:rPr>
        <w:t xml:space="preserve"> të marrëveshjeve specifike për përjashtime grupore të cilat duhet të rregullohen me ligj  e jo me akte  nënligjore sepse mund të krijojnë efekte në procedura të panevojshme duke ndikuar në efikasitetin e vendimmarrjes së Autoritetit.</w:t>
      </w:r>
      <w:r w:rsidR="00071C60">
        <w:rPr>
          <w:rFonts w:ascii="Times New Roman" w:hAnsi="Times New Roman" w:cs="Times New Roman"/>
          <w:sz w:val="24"/>
          <w:szCs w:val="24"/>
        </w:rPr>
        <w:t xml:space="preserve"> </w:t>
      </w:r>
      <w:r w:rsidRPr="000D3717">
        <w:rPr>
          <w:rFonts w:ascii="Times New Roman" w:hAnsi="Times New Roman" w:cs="Times New Roman"/>
          <w:sz w:val="24"/>
          <w:szCs w:val="24"/>
        </w:rPr>
        <w:t>Andaj rekomandojmë se me opsionin e definuar n</w:t>
      </w:r>
      <w:r w:rsidR="0000074C">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të bëhet specifikimi i marrëveshjeve grupore.</w:t>
      </w:r>
    </w:p>
    <w:p w14:paraId="615360E1" w14:textId="77777777" w:rsidR="007602F2"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Përqindja e </w:t>
      </w:r>
      <w:r w:rsidR="00071C60" w:rsidRPr="000D3717">
        <w:rPr>
          <w:rFonts w:ascii="Times New Roman" w:hAnsi="Times New Roman" w:cs="Times New Roman"/>
          <w:sz w:val="24"/>
          <w:szCs w:val="24"/>
        </w:rPr>
        <w:t>pozitës</w:t>
      </w:r>
      <w:r w:rsidRPr="000D3717">
        <w:rPr>
          <w:rFonts w:ascii="Times New Roman" w:hAnsi="Times New Roman" w:cs="Times New Roman"/>
          <w:sz w:val="24"/>
          <w:szCs w:val="24"/>
        </w:rPr>
        <w:t xml:space="preserve"> dominuese n</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tregun relevant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ndryshohet nga njëzetepesë  (25 %) 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vendoset  n</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(40%).</w:t>
      </w:r>
    </w:p>
    <w:p w14:paraId="56B878D8" w14:textId="7A4ABE8E" w:rsidR="00DE67FA" w:rsidRPr="000D3717" w:rsidRDefault="00DE67FA" w:rsidP="00D0483F">
      <w:pPr>
        <w:pStyle w:val="ListParagraph"/>
        <w:numPr>
          <w:ilvl w:val="1"/>
          <w:numId w:val="35"/>
        </w:numPr>
        <w:jc w:val="both"/>
        <w:rPr>
          <w:rFonts w:ascii="Times New Roman" w:hAnsi="Times New Roman" w:cs="Times New Roman"/>
          <w:sz w:val="24"/>
          <w:szCs w:val="24"/>
        </w:rPr>
      </w:pPr>
      <w:r w:rsidRPr="00DE67FA">
        <w:rPr>
          <w:rFonts w:ascii="Times New Roman" w:hAnsi="Times New Roman" w:cs="Times New Roman"/>
          <w:sz w:val="24"/>
          <w:szCs w:val="24"/>
        </w:rPr>
        <w:t>Rekomandohet që paragrafi 1.1 i nenit 10 q</w:t>
      </w:r>
      <w:r w:rsidR="0000074C">
        <w:rPr>
          <w:rFonts w:ascii="Times New Roman" w:hAnsi="Times New Roman" w:cs="Times New Roman"/>
          <w:sz w:val="24"/>
          <w:szCs w:val="24"/>
        </w:rPr>
        <w:t>ë</w:t>
      </w:r>
      <w:r w:rsidRPr="00DE67FA">
        <w:rPr>
          <w:rFonts w:ascii="Times New Roman" w:hAnsi="Times New Roman" w:cs="Times New Roman"/>
          <w:sz w:val="24"/>
          <w:szCs w:val="24"/>
        </w:rPr>
        <w:t xml:space="preserve"> përcakton kriteret për përcaktimin e pozitës dominues të ndryshohet duke u bazuar në praktikën gjyqësore të BE-së.</w:t>
      </w:r>
    </w:p>
    <w:p w14:paraId="7E00DFE4"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Të qartësohet pozita e përbashkët dominuese e dy apo më shumë ndërmarrjeve dhe të rritet pragu për pozitën dominuese të dy apo më shumë ndërmarrjeve në tregun relevant nga 40% në 50% - 60%. Në nivel të BE-së pjesëmarrja në treg është e vendosur  80%.  </w:t>
      </w:r>
    </w:p>
    <w:p w14:paraId="029A1D7A"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Neni 57a par. 1 i Plotësim Ndryshimin e Ligjit për Mbrojtjen e Konkurrencës do të duhej fshihet për arsye se është dyfishim i dënimit duke pasur parasysh se dënimet e tilla janë të parapara me Kodin Penal të Republikës së Kosovës  neni 301.</w:t>
      </w:r>
    </w:p>
    <w:p w14:paraId="6D69774E"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Për të siguruar harmonizimin me LPPA, parashihet të bëhen ndryshimet si në vijim:</w:t>
      </w:r>
    </w:p>
    <w:p w14:paraId="0212EF11" w14:textId="1331A031"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8 do të parasheh kriteret dhe kushtet për përcaktimin e marrëveshjeve me vlerë të vogël në aspekt të përgjithshëm. Të njëjtat mund të </w:t>
      </w:r>
      <w:r w:rsidR="00EF3D1F"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w:t>
      </w:r>
    </w:p>
    <w:p w14:paraId="2B6A0FCE"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enin 9(9) fjalët “informatat jo të plota ose të pasakta”, si bazë për anulimin, ndryshimin, ose caktimin e kushteve lidhur me përqendrimin e lejuar, do të fshihen.</w:t>
      </w:r>
    </w:p>
    <w:p w14:paraId="1EED2742" w14:textId="71DB2EF2"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 xml:space="preserve">enin 13(4) mënyra dhe përmbajtja e përgjithshme e kërkesës, si dhe kriteret e përgjithshme për konstatimin e përqendrimit do të përcaktohen me ligj. Këto pastaj mund të </w:t>
      </w:r>
      <w:r w:rsidR="00EF3D1F"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 që duhet të jetë në pajtim me standardet ligjore të përgjithshme të cekura si më lartë.</w:t>
      </w:r>
    </w:p>
    <w:p w14:paraId="0B07DC28"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enin 21(1) fjalët “pasaktësia e informatave” si bazë për shfuqizimin apo ndryshimin e vendimit për përqendrim, do të fshihen nga Ligji.</w:t>
      </w:r>
    </w:p>
    <w:p w14:paraId="4795A174"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enin 33(2), në fund të tij, do të shtohen fjalët “përveç nëse rezultati i procedurës mund t’i cenoj të drejtat apo interesat e tij/saj.”</w:t>
      </w:r>
    </w:p>
    <w:p w14:paraId="525FBE73"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Neni 42(4) do të fshihet.</w:t>
      </w:r>
    </w:p>
    <w:p w14:paraId="3E1A1D6A"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lastRenderedPageBreak/>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 xml:space="preserve">enin 44(4) afati për autoritetin për të garantuar qasjen në dosje do të shkurtohet nga 15 në 5 ditë. Neni 44(8) do të fshihet. Neni 44(9) do të ndryshohet duke përcaktuar se “nuk lejohet ankesë ë veçantë, por konkluzioni i tillë mund të </w:t>
      </w:r>
      <w:proofErr w:type="spellStart"/>
      <w:r w:rsidRPr="000D3717">
        <w:rPr>
          <w:rFonts w:ascii="Times New Roman" w:hAnsi="Times New Roman" w:cs="Times New Roman"/>
          <w:sz w:val="24"/>
          <w:szCs w:val="24"/>
        </w:rPr>
        <w:t>ankimohet</w:t>
      </w:r>
      <w:proofErr w:type="spellEnd"/>
      <w:r w:rsidRPr="000D3717">
        <w:rPr>
          <w:rFonts w:ascii="Times New Roman" w:hAnsi="Times New Roman" w:cs="Times New Roman"/>
          <w:sz w:val="24"/>
          <w:szCs w:val="24"/>
        </w:rPr>
        <w:t xml:space="preserve"> së bashku me padinë për inicimin e konfliktit administrativ për vendimin kryesor të çështjes së caktuar”.</w:t>
      </w:r>
    </w:p>
    <w:p w14:paraId="0AE74AF8"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Në </w:t>
      </w:r>
      <w:r w:rsidR="00071C60">
        <w:rPr>
          <w:rFonts w:ascii="Times New Roman" w:hAnsi="Times New Roman" w:cs="Times New Roman"/>
          <w:sz w:val="24"/>
          <w:szCs w:val="24"/>
        </w:rPr>
        <w:t>n</w:t>
      </w:r>
      <w:r w:rsidRPr="000D3717">
        <w:rPr>
          <w:rFonts w:ascii="Times New Roman" w:hAnsi="Times New Roman" w:cs="Times New Roman"/>
          <w:sz w:val="24"/>
          <w:szCs w:val="24"/>
        </w:rPr>
        <w:t>enin 46(6) fjalët “pasaktësia e informatave” si bazë për ri-inicimin e procedurës do të fshihen.</w:t>
      </w:r>
    </w:p>
    <w:p w14:paraId="6633CF4D"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Neni 59(8) do të fshihet.</w:t>
      </w:r>
    </w:p>
    <w:p w14:paraId="6CA4BA8D" w14:textId="00A4EE22"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60(4) do të parasheh në aspekt të përgjithshëm kriteret për lirimin nga ndëshkimi dhe masat për zvogëlimin e ndëshkimeve. Këto mund të </w:t>
      </w:r>
      <w:r w:rsidR="00EF3D1F"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pastaj me akt nënligjor.</w:t>
      </w:r>
    </w:p>
    <w:p w14:paraId="06959D8D"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Neni 66 do të fshihet.</w:t>
      </w:r>
    </w:p>
    <w:p w14:paraId="34C9D41C" w14:textId="52503756"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Neni 7A(2) do të parasheh kushtet e përgjithshme për përcaktimin e përjashtimeve grupore. Këto mund të </w:t>
      </w:r>
      <w:r w:rsidR="00EF3D1F" w:rsidRPr="000D3717">
        <w:rPr>
          <w:rFonts w:ascii="Times New Roman" w:hAnsi="Times New Roman" w:cs="Times New Roman"/>
          <w:sz w:val="24"/>
          <w:szCs w:val="24"/>
        </w:rPr>
        <w:t>detajohen</w:t>
      </w:r>
      <w:r w:rsidRPr="000D3717">
        <w:rPr>
          <w:rFonts w:ascii="Times New Roman" w:hAnsi="Times New Roman" w:cs="Times New Roman"/>
          <w:sz w:val="24"/>
          <w:szCs w:val="24"/>
        </w:rPr>
        <w:t xml:space="preserve"> me akt nënligjor.</w:t>
      </w:r>
    </w:p>
    <w:p w14:paraId="3DDAFE41" w14:textId="6A67C5CB" w:rsidR="007602F2" w:rsidRPr="000D3717" w:rsidRDefault="007602F2" w:rsidP="000D3717">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Rekomandojmë që në Ligjin e ri të përcaktohet  qartë që Kryetari dhe anëtaret e Komisionit aktual të ushtrojnë detyrën e tyre deri në emërimin e anëtarëve të rinj.</w:t>
      </w:r>
    </w:p>
    <w:p w14:paraId="1558D36A" w14:textId="77777777" w:rsidR="007602F2" w:rsidRPr="000D3717" w:rsidRDefault="007602F2" w:rsidP="000D3717">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Ose, të shtohet par. në nenin 25 për vazhdimin e punës së komisionarëve deri në emërimin e anëtarëve të ri që do të formulohej  Në rast kur mandati i anëtarit të Komisionit ka përfunduar dhe nuk është realizuar emërimi i anëtarit të ri, anëtari i vjetër  qëndron në detyrë deri në zëvendësimin e tij. Kjo praktikë zbatohet edhe në shtetet e rajonit.</w:t>
      </w:r>
    </w:p>
    <w:p w14:paraId="0BB34E25"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Andaj, rekomandojmë se Vendimi i Autoritetit duhet të mbetet në fuqi dhe të ekzekutohet edhe nëse ka filluar konflikti administrativ derisa me vendim të gjykatës të dëshmohet e kundërta.</w:t>
      </w:r>
    </w:p>
    <w:p w14:paraId="78C9A39A" w14:textId="002706B1"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T</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mbetet n</w:t>
      </w:r>
      <w:r w:rsidR="00071C60">
        <w:rPr>
          <w:rFonts w:ascii="Times New Roman" w:hAnsi="Times New Roman" w:cs="Times New Roman"/>
          <w:sz w:val="24"/>
          <w:szCs w:val="24"/>
        </w:rPr>
        <w:t>ë</w:t>
      </w:r>
      <w:r w:rsidRPr="000D3717">
        <w:rPr>
          <w:rFonts w:ascii="Times New Roman" w:hAnsi="Times New Roman" w:cs="Times New Roman"/>
          <w:sz w:val="24"/>
          <w:szCs w:val="24"/>
        </w:rPr>
        <w:t xml:space="preserve"> fuqi neni 62 paragrafi 4 si n</w:t>
      </w:r>
      <w:r w:rsidR="003161BB">
        <w:rPr>
          <w:rFonts w:ascii="Times New Roman" w:hAnsi="Times New Roman" w:cs="Times New Roman"/>
          <w:sz w:val="24"/>
          <w:szCs w:val="24"/>
        </w:rPr>
        <w:t>ë</w:t>
      </w:r>
      <w:r w:rsidRPr="000D3717">
        <w:rPr>
          <w:rFonts w:ascii="Times New Roman" w:hAnsi="Times New Roman" w:cs="Times New Roman"/>
          <w:sz w:val="24"/>
          <w:szCs w:val="24"/>
        </w:rPr>
        <w:t xml:space="preserve"> Ligjin baze për mbrojtjen e Konkurrencës Nr.03/L-229 si vijon:  Inicimi i konfliktit administrativ nuk e ndalon ekzekutimin e vendimit</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 xml:space="preserve">Komisionit -Autoritetit. Ndërsa </w:t>
      </w:r>
      <w:r w:rsidR="006F11C5">
        <w:rPr>
          <w:rFonts w:ascii="Times New Roman" w:hAnsi="Times New Roman" w:cs="Times New Roman"/>
          <w:sz w:val="24"/>
          <w:szCs w:val="24"/>
        </w:rPr>
        <w:t>n</w:t>
      </w:r>
      <w:r w:rsidRPr="000D3717">
        <w:rPr>
          <w:rFonts w:ascii="Times New Roman" w:hAnsi="Times New Roman" w:cs="Times New Roman"/>
          <w:sz w:val="24"/>
          <w:szCs w:val="24"/>
        </w:rPr>
        <w:t>eni 26 i Plotësim Ndryshimit</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Ligjit, paragrafi 4</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 xml:space="preserve"> riformulohet si ne Ligjin baz</w:t>
      </w:r>
      <w:r w:rsidR="003161BB">
        <w:rPr>
          <w:rFonts w:ascii="Times New Roman" w:hAnsi="Times New Roman" w:cs="Times New Roman"/>
          <w:sz w:val="24"/>
          <w:szCs w:val="24"/>
        </w:rPr>
        <w:t>ë</w:t>
      </w:r>
      <w:r w:rsidRPr="000D3717">
        <w:rPr>
          <w:rFonts w:ascii="Times New Roman" w:hAnsi="Times New Roman" w:cs="Times New Roman"/>
          <w:sz w:val="24"/>
          <w:szCs w:val="24"/>
        </w:rPr>
        <w:t>. Gjithashtu</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 xml:space="preserve">ndryshohet </w:t>
      </w:r>
      <w:r w:rsidR="006F11C5">
        <w:rPr>
          <w:rFonts w:ascii="Times New Roman" w:hAnsi="Times New Roman" w:cs="Times New Roman"/>
          <w:sz w:val="24"/>
          <w:szCs w:val="24"/>
        </w:rPr>
        <w:t>n</w:t>
      </w:r>
      <w:r w:rsidRPr="000D3717">
        <w:rPr>
          <w:rFonts w:ascii="Times New Roman" w:hAnsi="Times New Roman" w:cs="Times New Roman"/>
          <w:sz w:val="24"/>
          <w:szCs w:val="24"/>
        </w:rPr>
        <w:t>eni 63, paragrafi 2</w:t>
      </w:r>
      <w:r w:rsidR="006F11C5">
        <w:rPr>
          <w:rFonts w:ascii="Times New Roman" w:hAnsi="Times New Roman" w:cs="Times New Roman"/>
          <w:sz w:val="24"/>
          <w:szCs w:val="24"/>
        </w:rPr>
        <w:t>;</w:t>
      </w:r>
      <w:r w:rsidRPr="000D3717">
        <w:rPr>
          <w:rFonts w:ascii="Times New Roman" w:hAnsi="Times New Roman" w:cs="Times New Roman"/>
          <w:sz w:val="24"/>
          <w:szCs w:val="24"/>
        </w:rPr>
        <w:t xml:space="preserve"> </w:t>
      </w:r>
    </w:p>
    <w:p w14:paraId="6A9633B1" w14:textId="74385F9B"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rast se vendoset se vendimet e Autoritetit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jen</w:t>
      </w:r>
      <w:r w:rsidR="003161BB">
        <w:rPr>
          <w:rFonts w:ascii="Times New Roman" w:hAnsi="Times New Roman" w:cs="Times New Roman"/>
          <w:sz w:val="24"/>
          <w:szCs w:val="24"/>
        </w:rPr>
        <w:t>ë</w:t>
      </w:r>
      <w:r w:rsidRPr="000D3717">
        <w:rPr>
          <w:rFonts w:ascii="Times New Roman" w:hAnsi="Times New Roman" w:cs="Times New Roman"/>
          <w:sz w:val="24"/>
          <w:szCs w:val="24"/>
        </w:rPr>
        <w:t xml:space="preserve">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ekzekutueshme edhe nëse ka filluar konflikti administrativ, atëherë ligji duhet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përmbaje masa adekuate </w:t>
      </w:r>
      <w:proofErr w:type="spellStart"/>
      <w:r w:rsidRPr="000D3717">
        <w:rPr>
          <w:rFonts w:ascii="Times New Roman" w:hAnsi="Times New Roman" w:cs="Times New Roman"/>
          <w:sz w:val="24"/>
          <w:szCs w:val="24"/>
        </w:rPr>
        <w:t>kompenzuese</w:t>
      </w:r>
      <w:proofErr w:type="spellEnd"/>
      <w:r w:rsidRPr="000D3717">
        <w:rPr>
          <w:rFonts w:ascii="Times New Roman" w:hAnsi="Times New Roman" w:cs="Times New Roman"/>
          <w:sz w:val="24"/>
          <w:szCs w:val="24"/>
        </w:rPr>
        <w:t xml:space="preserve"> për palën e dëmtuar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rastet kur gjykata vendos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favor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palës ankuese</w:t>
      </w:r>
      <w:r w:rsidR="006F11C5">
        <w:rPr>
          <w:rFonts w:ascii="Times New Roman" w:hAnsi="Times New Roman" w:cs="Times New Roman"/>
          <w:sz w:val="24"/>
          <w:szCs w:val="24"/>
        </w:rPr>
        <w:t>;</w:t>
      </w:r>
    </w:p>
    <w:p w14:paraId="1F4A0B1C" w14:textId="75644B31"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Shënim: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baz</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analizës se </w:t>
      </w:r>
      <w:proofErr w:type="spellStart"/>
      <w:r w:rsidRPr="000D3717">
        <w:rPr>
          <w:rFonts w:ascii="Times New Roman" w:hAnsi="Times New Roman" w:cs="Times New Roman"/>
          <w:sz w:val="24"/>
          <w:szCs w:val="24"/>
        </w:rPr>
        <w:t>konkurueshmerise</w:t>
      </w:r>
      <w:proofErr w:type="spellEnd"/>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konsiderohen edhe alternativat e vendeve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rajonit</w:t>
      </w:r>
      <w:r w:rsidR="006F11C5">
        <w:rPr>
          <w:rFonts w:ascii="Times New Roman" w:hAnsi="Times New Roman" w:cs="Times New Roman"/>
          <w:sz w:val="24"/>
          <w:szCs w:val="24"/>
        </w:rPr>
        <w:t>.</w:t>
      </w:r>
    </w:p>
    <w:p w14:paraId="7698E3AC"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Të fshihet Neni 24. i Ligjit për Mbrojtjen e Konkurrencës pjesa që flet për Ndihmën shtetërore si  dhe kudo që rregullohet ndihma shtetërore.   </w:t>
      </w:r>
    </w:p>
    <w:p w14:paraId="626327A8"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Termat:</w:t>
      </w:r>
    </w:p>
    <w:p w14:paraId="10F540B6"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Termi ‘</w:t>
      </w:r>
      <w:proofErr w:type="spellStart"/>
      <w:r w:rsidRPr="000D3717">
        <w:rPr>
          <w:rFonts w:ascii="Times New Roman" w:hAnsi="Times New Roman" w:cs="Times New Roman"/>
          <w:sz w:val="24"/>
          <w:szCs w:val="24"/>
        </w:rPr>
        <w:t>temporary</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w:t>
      </w:r>
      <w:proofErr w:type="spellEnd"/>
      <w:r w:rsidRPr="000D3717">
        <w:rPr>
          <w:rFonts w:ascii="Times New Roman" w:hAnsi="Times New Roman" w:cs="Times New Roman"/>
          <w:sz w:val="24"/>
          <w:szCs w:val="24"/>
        </w:rPr>
        <w:t>’ duhet të ndryshohet në ‘</w:t>
      </w:r>
      <w:proofErr w:type="spellStart"/>
      <w:r w:rsidRPr="000D3717">
        <w:rPr>
          <w:rFonts w:ascii="Times New Roman" w:hAnsi="Times New Roman" w:cs="Times New Roman"/>
          <w:sz w:val="24"/>
          <w:szCs w:val="24"/>
        </w:rPr>
        <w:t>interim</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measures</w:t>
      </w:r>
      <w:proofErr w:type="spellEnd"/>
      <w:r w:rsidRPr="000D3717">
        <w:rPr>
          <w:rFonts w:ascii="Times New Roman" w:hAnsi="Times New Roman" w:cs="Times New Roman"/>
          <w:sz w:val="24"/>
          <w:szCs w:val="24"/>
        </w:rPr>
        <w:t xml:space="preserve">’, </w:t>
      </w:r>
    </w:p>
    <w:p w14:paraId="2BC03014"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Termi ‘</w:t>
      </w:r>
      <w:proofErr w:type="spellStart"/>
      <w:r w:rsidRPr="000D3717">
        <w:rPr>
          <w:rFonts w:ascii="Times New Roman" w:hAnsi="Times New Roman" w:cs="Times New Roman"/>
          <w:sz w:val="24"/>
          <w:szCs w:val="24"/>
        </w:rPr>
        <w:t>group</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exemptions</w:t>
      </w:r>
      <w:proofErr w:type="spellEnd"/>
      <w:r w:rsidRPr="000D3717">
        <w:rPr>
          <w:rFonts w:ascii="Times New Roman" w:hAnsi="Times New Roman" w:cs="Times New Roman"/>
          <w:sz w:val="24"/>
          <w:szCs w:val="24"/>
        </w:rPr>
        <w:t>’ (përjashtimet grupore) duhet të ndryshohet në ‘</w:t>
      </w:r>
      <w:proofErr w:type="spellStart"/>
      <w:r w:rsidRPr="000D3717">
        <w:rPr>
          <w:rFonts w:ascii="Times New Roman" w:hAnsi="Times New Roman" w:cs="Times New Roman"/>
          <w:sz w:val="24"/>
          <w:szCs w:val="24"/>
        </w:rPr>
        <w:t>block</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exemption</w:t>
      </w:r>
      <w:proofErr w:type="spellEnd"/>
      <w:r w:rsidRPr="000D3717">
        <w:rPr>
          <w:rFonts w:ascii="Times New Roman" w:hAnsi="Times New Roman" w:cs="Times New Roman"/>
          <w:sz w:val="24"/>
          <w:szCs w:val="24"/>
        </w:rPr>
        <w:t>’ (përjashtimet në bllok)</w:t>
      </w:r>
    </w:p>
    <w:p w14:paraId="07013E52"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Termi ‘</w:t>
      </w:r>
      <w:proofErr w:type="spellStart"/>
      <w:r w:rsidRPr="000D3717">
        <w:rPr>
          <w:rFonts w:ascii="Times New Roman" w:hAnsi="Times New Roman" w:cs="Times New Roman"/>
          <w:sz w:val="24"/>
          <w:szCs w:val="24"/>
        </w:rPr>
        <w:t>development</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procedures</w:t>
      </w:r>
      <w:proofErr w:type="spellEnd"/>
      <w:r w:rsidRPr="000D3717">
        <w:rPr>
          <w:rFonts w:ascii="Times New Roman" w:hAnsi="Times New Roman" w:cs="Times New Roman"/>
          <w:sz w:val="24"/>
          <w:szCs w:val="24"/>
        </w:rPr>
        <w:t xml:space="preserve">’ është i paqartë por duket se ndërlidhet me procedurat dhe hetimet që kryhen nga Autoriteti </w:t>
      </w:r>
    </w:p>
    <w:p w14:paraId="55C0751A"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lastRenderedPageBreak/>
        <w:t>Termi ‘</w:t>
      </w:r>
      <w:proofErr w:type="spellStart"/>
      <w:r w:rsidRPr="000D3717">
        <w:rPr>
          <w:rFonts w:ascii="Times New Roman" w:hAnsi="Times New Roman" w:cs="Times New Roman"/>
          <w:sz w:val="24"/>
          <w:szCs w:val="24"/>
        </w:rPr>
        <w:t>punitive</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measures</w:t>
      </w:r>
      <w:proofErr w:type="spellEnd"/>
      <w:r w:rsidRPr="000D3717">
        <w:rPr>
          <w:rFonts w:ascii="Times New Roman" w:hAnsi="Times New Roman" w:cs="Times New Roman"/>
          <w:sz w:val="24"/>
          <w:szCs w:val="24"/>
        </w:rPr>
        <w:t>’ (masa ndëshkuese) duhet të ndryshohet në ‘fines’ (gjobat) pasi që termi ‘</w:t>
      </w:r>
      <w:proofErr w:type="spellStart"/>
      <w:r w:rsidRPr="000D3717">
        <w:rPr>
          <w:rFonts w:ascii="Times New Roman" w:hAnsi="Times New Roman" w:cs="Times New Roman"/>
          <w:sz w:val="24"/>
          <w:szCs w:val="24"/>
        </w:rPr>
        <w:t>punitive</w:t>
      </w:r>
      <w:proofErr w:type="spellEnd"/>
      <w:r w:rsidRPr="000D3717">
        <w:rPr>
          <w:rFonts w:ascii="Times New Roman" w:hAnsi="Times New Roman" w:cs="Times New Roman"/>
          <w:sz w:val="24"/>
          <w:szCs w:val="24"/>
        </w:rPr>
        <w:t>’ i referohet më shumë sanksioneve penale</w:t>
      </w:r>
    </w:p>
    <w:p w14:paraId="535951D1" w14:textId="77777777" w:rsidR="007602F2"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Termi ‘legal </w:t>
      </w:r>
      <w:proofErr w:type="spellStart"/>
      <w:r w:rsidRPr="000D3717">
        <w:rPr>
          <w:rFonts w:ascii="Times New Roman" w:hAnsi="Times New Roman" w:cs="Times New Roman"/>
          <w:sz w:val="24"/>
          <w:szCs w:val="24"/>
        </w:rPr>
        <w:t>defence</w:t>
      </w:r>
      <w:proofErr w:type="spellEnd"/>
      <w:r w:rsidRPr="000D3717">
        <w:rPr>
          <w:rFonts w:ascii="Times New Roman" w:hAnsi="Times New Roman" w:cs="Times New Roman"/>
          <w:sz w:val="24"/>
          <w:szCs w:val="24"/>
        </w:rPr>
        <w:t>’ (</w:t>
      </w:r>
      <w:proofErr w:type="spellStart"/>
      <w:r w:rsidRPr="000D3717">
        <w:rPr>
          <w:rFonts w:ascii="Times New Roman" w:hAnsi="Times New Roman" w:cs="Times New Roman"/>
          <w:sz w:val="24"/>
          <w:szCs w:val="24"/>
        </w:rPr>
        <w:t>mbrotja</w:t>
      </w:r>
      <w:proofErr w:type="spellEnd"/>
      <w:r w:rsidRPr="000D3717">
        <w:rPr>
          <w:rFonts w:ascii="Times New Roman" w:hAnsi="Times New Roman" w:cs="Times New Roman"/>
          <w:sz w:val="24"/>
          <w:szCs w:val="24"/>
        </w:rPr>
        <w:t xml:space="preserve"> gjyqësore) në të drejtën e konkurrencës duhet të definohet si ‘</w:t>
      </w:r>
      <w:proofErr w:type="spellStart"/>
      <w:r w:rsidRPr="000D3717">
        <w:rPr>
          <w:rFonts w:ascii="Times New Roman" w:hAnsi="Times New Roman" w:cs="Times New Roman"/>
          <w:sz w:val="24"/>
          <w:szCs w:val="24"/>
        </w:rPr>
        <w:t>court</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review</w:t>
      </w:r>
      <w:proofErr w:type="spellEnd"/>
      <w:r w:rsidRPr="000D3717">
        <w:rPr>
          <w:rFonts w:ascii="Times New Roman" w:hAnsi="Times New Roman" w:cs="Times New Roman"/>
          <w:sz w:val="24"/>
          <w:szCs w:val="24"/>
        </w:rPr>
        <w:t xml:space="preserve">’ (shqyrtimi gjyqësor) </w:t>
      </w:r>
    </w:p>
    <w:p w14:paraId="24A4A3EE" w14:textId="23A58074" w:rsidR="0013265F" w:rsidRPr="000D3717" w:rsidRDefault="0013265F" w:rsidP="007602F2">
      <w:pPr>
        <w:pStyle w:val="ListParagraph"/>
        <w:numPr>
          <w:ilvl w:val="1"/>
          <w:numId w:val="35"/>
        </w:numPr>
        <w:jc w:val="both"/>
        <w:rPr>
          <w:rFonts w:ascii="Times New Roman" w:hAnsi="Times New Roman" w:cs="Times New Roman"/>
          <w:sz w:val="24"/>
          <w:szCs w:val="24"/>
        </w:rPr>
      </w:pPr>
      <w:r>
        <w:rPr>
          <w:rFonts w:ascii="Times New Roman" w:hAnsi="Times New Roman" w:cs="Times New Roman"/>
          <w:sz w:val="24"/>
          <w:szCs w:val="24"/>
        </w:rPr>
        <w:t>Termi “Veprimtari ekonomike” duhet</w:t>
      </w:r>
      <w:r w:rsidR="008753CB">
        <w:rPr>
          <w:rFonts w:ascii="Times New Roman" w:hAnsi="Times New Roman" w:cs="Times New Roman"/>
          <w:sz w:val="24"/>
          <w:szCs w:val="24"/>
        </w:rPr>
        <w:t xml:space="preserve"> të </w:t>
      </w:r>
      <w:r>
        <w:rPr>
          <w:rFonts w:ascii="Times New Roman" w:hAnsi="Times New Roman" w:cs="Times New Roman"/>
          <w:sz w:val="24"/>
          <w:szCs w:val="24"/>
        </w:rPr>
        <w:t>definohet: është veprimtari prodhuese, tregtare, financiare, ose profesionale, qe shoqërohet me blerjen dhe shitjen e mallrave dhe/ose me ofrimin apo përfitimin e shërbimeve.</w:t>
      </w:r>
    </w:p>
    <w:p w14:paraId="5B31B59B" w14:textId="77777777" w:rsidR="007602F2" w:rsidRPr="000D3717" w:rsidRDefault="007602F2" w:rsidP="007602F2">
      <w:pPr>
        <w:pStyle w:val="ListParagraph"/>
        <w:numPr>
          <w:ilvl w:val="1"/>
          <w:numId w:val="35"/>
        </w:numPr>
        <w:jc w:val="both"/>
        <w:rPr>
          <w:rFonts w:ascii="Times New Roman" w:hAnsi="Times New Roman" w:cs="Times New Roman"/>
          <w:sz w:val="24"/>
          <w:szCs w:val="24"/>
        </w:rPr>
      </w:pPr>
      <w:r w:rsidRPr="000D3717">
        <w:rPr>
          <w:rFonts w:ascii="Times New Roman" w:hAnsi="Times New Roman" w:cs="Times New Roman"/>
          <w:sz w:val="24"/>
          <w:szCs w:val="24"/>
        </w:rPr>
        <w:t>Në paragrafin 1.1, termi joreal duhet të zëvendësohet me çmim të padrejtë për të qenë në përputhje me nenin 102 TFEU. Nuk është e qartë se çfarë është çmimi joreal.</w:t>
      </w:r>
    </w:p>
    <w:p w14:paraId="1D10D47A" w14:textId="77777777" w:rsidR="0013265F" w:rsidRDefault="007602F2" w:rsidP="007602F2">
      <w:pPr>
        <w:pStyle w:val="ListParagraph"/>
        <w:jc w:val="both"/>
        <w:rPr>
          <w:rFonts w:ascii="Times New Roman" w:hAnsi="Times New Roman" w:cs="Times New Roman"/>
          <w:sz w:val="24"/>
          <w:szCs w:val="24"/>
        </w:rPr>
      </w:pPr>
      <w:r w:rsidRPr="000D3717">
        <w:rPr>
          <w:rFonts w:ascii="Times New Roman" w:hAnsi="Times New Roman" w:cs="Times New Roman"/>
          <w:sz w:val="24"/>
          <w:szCs w:val="24"/>
        </w:rPr>
        <w:t xml:space="preserve">Në paragrafin 1.4. Pjesa e fundit e kësaj dispozite siç është në nenin 102 të TFBE mungon: detyrim shtesë që, sipas natyrës së tyre ose sipas përdorimit tregtar, nuk kanë lidhje me subjektin e këtyre kontratave.  </w:t>
      </w:r>
    </w:p>
    <w:p w14:paraId="29B405A4" w14:textId="194E1850" w:rsidR="007602F2" w:rsidRPr="00D0483F" w:rsidRDefault="0013265F" w:rsidP="0013265F">
      <w:pPr>
        <w:pStyle w:val="ListParagraph"/>
        <w:jc w:val="both"/>
        <w:rPr>
          <w:rFonts w:ascii="Times New Roman" w:hAnsi="Times New Roman" w:cs="Times New Roman"/>
          <w:sz w:val="24"/>
          <w:szCs w:val="24"/>
        </w:rPr>
      </w:pPr>
      <w:r>
        <w:rPr>
          <w:rFonts w:ascii="Times New Roman" w:hAnsi="Times New Roman" w:cs="Times New Roman"/>
          <w:sz w:val="24"/>
          <w:szCs w:val="24"/>
        </w:rPr>
        <w:t>Gjithashtu, duhet</w:t>
      </w:r>
      <w:r w:rsidR="008753CB">
        <w:rPr>
          <w:rFonts w:ascii="Times New Roman" w:hAnsi="Times New Roman" w:cs="Times New Roman"/>
          <w:sz w:val="24"/>
          <w:szCs w:val="24"/>
        </w:rPr>
        <w:t xml:space="preserve"> të </w:t>
      </w:r>
      <w:r>
        <w:rPr>
          <w:rFonts w:ascii="Times New Roman" w:hAnsi="Times New Roman" w:cs="Times New Roman"/>
          <w:sz w:val="24"/>
          <w:szCs w:val="24"/>
        </w:rPr>
        <w:t>ketë një nen</w:t>
      </w:r>
      <w:r w:rsidR="008753CB">
        <w:rPr>
          <w:rFonts w:ascii="Times New Roman" w:hAnsi="Times New Roman" w:cs="Times New Roman"/>
          <w:sz w:val="24"/>
          <w:szCs w:val="24"/>
        </w:rPr>
        <w:t xml:space="preserve"> të </w:t>
      </w:r>
      <w:r>
        <w:rPr>
          <w:rFonts w:ascii="Times New Roman" w:hAnsi="Times New Roman" w:cs="Times New Roman"/>
          <w:sz w:val="24"/>
          <w:szCs w:val="24"/>
        </w:rPr>
        <w:t xml:space="preserve">veçantë i cili e përcakton kuptimin e termit “ndërmarrje”.  Rekomandohet ky përkufizim: “Ndërmerrje” – është çdo person fizik ose juridik, privat a publik, qe kryen veprimtari ekonomike. Si ndërmarrje konsiderohen edhe organet e administratës qendrore e vendore, si dhe entet ose institucionet publike, kur kryejnë veprimtari ekonomike. </w:t>
      </w:r>
      <w:r w:rsidRPr="00D0483F">
        <w:rPr>
          <w:rFonts w:ascii="Times New Roman" w:hAnsi="Times New Roman" w:cs="Times New Roman"/>
          <w:sz w:val="24"/>
          <w:szCs w:val="24"/>
        </w:rPr>
        <w:t>Ndërsa, n</w:t>
      </w:r>
      <w:r w:rsidR="007602F2" w:rsidRPr="00D0483F">
        <w:rPr>
          <w:rFonts w:ascii="Times New Roman" w:hAnsi="Times New Roman" w:cs="Times New Roman"/>
          <w:sz w:val="24"/>
          <w:szCs w:val="24"/>
        </w:rPr>
        <w:t xml:space="preserve">eni 13 i Ligjit të Konkurrencës ka të bëjë me përkufizimin e përqendrimeve. Në pjesën më të madhe ky artikull është në përputhje me </w:t>
      </w:r>
      <w:proofErr w:type="spellStart"/>
      <w:r w:rsidR="007602F2" w:rsidRPr="00D0483F">
        <w:rPr>
          <w:rFonts w:ascii="Times New Roman" w:hAnsi="Times New Roman" w:cs="Times New Roman"/>
          <w:sz w:val="24"/>
          <w:szCs w:val="24"/>
        </w:rPr>
        <w:t>acquis</w:t>
      </w:r>
      <w:proofErr w:type="spellEnd"/>
      <w:r w:rsidR="007602F2" w:rsidRPr="00D0483F">
        <w:rPr>
          <w:rFonts w:ascii="Times New Roman" w:hAnsi="Times New Roman" w:cs="Times New Roman"/>
          <w:sz w:val="24"/>
          <w:szCs w:val="24"/>
        </w:rPr>
        <w:t xml:space="preserve"> të BE-së (Rregullorja e Bashkimeve), por; Në paragrafin e parë ajo duhet t'i referohet ndryshimit të kontrollit në një bazë të qëndrueshme dhe jo vetëm të kontrollit.  Paragrafi 1.2. dhe paragrafi 2 i referohen ndikimit në pozitën dominuese, nuk është e qartë nëse kjo përfshin ndikimin vendimtar të një ose më shumë ndërmarrjeve që është pjesë e përcaktimit të përqendrimit sipas ligjit të BE-së.</w:t>
      </w:r>
    </w:p>
    <w:p w14:paraId="7A493CB1"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Përkufizimi nga Njoftimi i BE-së përcakton tregun përkatës të produktit si: "treg që përfshin të gjitha ato produkte dhe / ose shërbime të cilat konsiderohen si të këmbyeshme ose të zëvendësueshme nga konsumatori, për shkak të karakteristikave të produkteve, çmimeve të tyre dhe përdorimit të tyre të synuar " dhe tregun gjeografik përkatës si: treg që përfshin zonën në të cilën ndërmarrjet në fjalë janë të përfshira në ofertën dhe kërkesën e produkteve ose shërbimeve, në të cilat kushtet e konkurrencës janë mjaft homogjene dhe që mund të dallohen nga zonat fqinje sepse kushtet e konkurrencës janë dukshëm të ndryshme në ato zona'.</w:t>
      </w:r>
    </w:p>
    <w:p w14:paraId="66AA4384"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Disa nga këto elemente janë inkorporuar në dispozita të mëtejshme për marrëveshjet e Ligjit të Konkurrencës, megjithatë për këtë dispozitë të jetë plotësisht në përputhje me </w:t>
      </w:r>
      <w:r w:rsidR="006F11C5">
        <w:rPr>
          <w:rFonts w:ascii="Times New Roman" w:hAnsi="Times New Roman" w:cs="Times New Roman"/>
          <w:sz w:val="24"/>
          <w:szCs w:val="24"/>
        </w:rPr>
        <w:t>n</w:t>
      </w:r>
      <w:r w:rsidRPr="000D3717">
        <w:rPr>
          <w:rFonts w:ascii="Times New Roman" w:hAnsi="Times New Roman" w:cs="Times New Roman"/>
          <w:sz w:val="24"/>
          <w:szCs w:val="24"/>
        </w:rPr>
        <w:t>enin 101 TFEU dhe për qartësinë e kësaj dispozite, sugjerohet të shtohet një paragraf tjetër që korrespondon me nenin 101 paragrafi 3) TFEU.</w:t>
      </w:r>
    </w:p>
    <w:p w14:paraId="2CED0A7A"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Sipas Njoftimit të BE-së për marrëveshjet me rëndësi të vogël që nuk kufizojnë ndjeshëm konkurrencën sipas </w:t>
      </w:r>
      <w:r w:rsidR="006F11C5">
        <w:rPr>
          <w:rFonts w:ascii="Times New Roman" w:hAnsi="Times New Roman" w:cs="Times New Roman"/>
          <w:sz w:val="24"/>
          <w:szCs w:val="24"/>
        </w:rPr>
        <w:t>n</w:t>
      </w:r>
      <w:r w:rsidRPr="000D3717">
        <w:rPr>
          <w:rFonts w:ascii="Times New Roman" w:hAnsi="Times New Roman" w:cs="Times New Roman"/>
          <w:sz w:val="24"/>
          <w:szCs w:val="24"/>
        </w:rPr>
        <w:t xml:space="preserve">enit 101 TFEU (De </w:t>
      </w:r>
      <w:proofErr w:type="spellStart"/>
      <w:r w:rsidRPr="000D3717">
        <w:rPr>
          <w:rFonts w:ascii="Times New Roman" w:hAnsi="Times New Roman" w:cs="Times New Roman"/>
          <w:sz w:val="24"/>
          <w:szCs w:val="24"/>
        </w:rPr>
        <w:t>Minimis</w:t>
      </w:r>
      <w:proofErr w:type="spellEnd"/>
      <w:r w:rsidRPr="000D3717">
        <w:rPr>
          <w:rFonts w:ascii="Times New Roman" w:hAnsi="Times New Roman" w:cs="Times New Roman"/>
          <w:sz w:val="24"/>
          <w:szCs w:val="24"/>
        </w:rPr>
        <w:t xml:space="preserve"> </w:t>
      </w:r>
      <w:proofErr w:type="spellStart"/>
      <w:r w:rsidRPr="000D3717">
        <w:rPr>
          <w:rFonts w:ascii="Times New Roman" w:hAnsi="Times New Roman" w:cs="Times New Roman"/>
          <w:sz w:val="24"/>
          <w:szCs w:val="24"/>
        </w:rPr>
        <w:t>Notice</w:t>
      </w:r>
      <w:proofErr w:type="spellEnd"/>
      <w:r w:rsidRPr="000D3717">
        <w:rPr>
          <w:rFonts w:ascii="Times New Roman" w:hAnsi="Times New Roman" w:cs="Times New Roman"/>
          <w:sz w:val="24"/>
          <w:szCs w:val="24"/>
        </w:rPr>
        <w:t xml:space="preserve">), marrëveshjet e tilla duhet të konsiderohen si marrëveshje të ndaluara. Paragrafi 13 i Njoftimit De </w:t>
      </w:r>
      <w:proofErr w:type="spellStart"/>
      <w:r w:rsidRPr="000D3717">
        <w:rPr>
          <w:rFonts w:ascii="Times New Roman" w:hAnsi="Times New Roman" w:cs="Times New Roman"/>
          <w:sz w:val="24"/>
          <w:szCs w:val="24"/>
        </w:rPr>
        <w:t>Minimis</w:t>
      </w:r>
      <w:proofErr w:type="spellEnd"/>
      <w:r w:rsidRPr="000D3717">
        <w:rPr>
          <w:rFonts w:ascii="Times New Roman" w:hAnsi="Times New Roman" w:cs="Times New Roman"/>
          <w:sz w:val="24"/>
          <w:szCs w:val="24"/>
        </w:rPr>
        <w:t xml:space="preserve"> thekson se Komisioni nuk do të zbatojë portin e sigurt të krijuar nga ato pragje të tregut për marrëveshjet që përmbajnë ndonjë nga kufizimet të cilat janë të renditura si kufizime të ashpra dhe të cilat konsiderohen nga Komisioni në përgjithësi përbëjnë kufizim nga objekti. Meqenëse kjo është një pikë shumë e rëndësishme për marrëveshjet e de </w:t>
      </w:r>
      <w:proofErr w:type="spellStart"/>
      <w:r w:rsidRPr="000D3717">
        <w:rPr>
          <w:rFonts w:ascii="Times New Roman" w:hAnsi="Times New Roman" w:cs="Times New Roman"/>
          <w:sz w:val="24"/>
          <w:szCs w:val="24"/>
        </w:rPr>
        <w:t>minis</w:t>
      </w:r>
      <w:proofErr w:type="spellEnd"/>
      <w:r w:rsidRPr="000D3717">
        <w:rPr>
          <w:rFonts w:ascii="Times New Roman" w:hAnsi="Times New Roman" w:cs="Times New Roman"/>
          <w:sz w:val="24"/>
          <w:szCs w:val="24"/>
        </w:rPr>
        <w:t xml:space="preserve">, </w:t>
      </w:r>
      <w:r w:rsidRPr="000D3717">
        <w:rPr>
          <w:rFonts w:ascii="Times New Roman" w:hAnsi="Times New Roman" w:cs="Times New Roman"/>
          <w:sz w:val="24"/>
          <w:szCs w:val="24"/>
        </w:rPr>
        <w:lastRenderedPageBreak/>
        <w:t>do të ishte e dobishme që kjo dispozitë të jetë e qartë në Ligj edhe pse ajo është e rregulluar në legjislacionin sekondar.</w:t>
      </w:r>
    </w:p>
    <w:p w14:paraId="1CB7B6E6"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Me qëllim të forcimit të mëtejshëm të kësaj detyre të rëndësishme të </w:t>
      </w:r>
      <w:proofErr w:type="spellStart"/>
      <w:r w:rsidRPr="000D3717">
        <w:rPr>
          <w:rFonts w:ascii="Times New Roman" w:hAnsi="Times New Roman" w:cs="Times New Roman"/>
          <w:sz w:val="24"/>
          <w:szCs w:val="24"/>
        </w:rPr>
        <w:t>avokimit</w:t>
      </w:r>
      <w:proofErr w:type="spellEnd"/>
      <w:r w:rsidRPr="000D3717">
        <w:rPr>
          <w:rFonts w:ascii="Times New Roman" w:hAnsi="Times New Roman" w:cs="Times New Roman"/>
          <w:sz w:val="24"/>
          <w:szCs w:val="24"/>
        </w:rPr>
        <w:t xml:space="preserve"> të konkurrencës, do të ishte e dobishme të shtohet në paragrafin 1 se AKK me vet iniciative ose me </w:t>
      </w:r>
      <w:r w:rsidR="006F11C5" w:rsidRPr="000D3717">
        <w:rPr>
          <w:rFonts w:ascii="Times New Roman" w:hAnsi="Times New Roman" w:cs="Times New Roman"/>
          <w:sz w:val="24"/>
          <w:szCs w:val="24"/>
        </w:rPr>
        <w:t>kërkesë</w:t>
      </w:r>
      <w:r w:rsidRPr="000D3717">
        <w:rPr>
          <w:rFonts w:ascii="Times New Roman" w:hAnsi="Times New Roman" w:cs="Times New Roman"/>
          <w:sz w:val="24"/>
          <w:szCs w:val="24"/>
        </w:rPr>
        <w:t xml:space="preserve"> mund të japë mendime edhe për projektligjet ose propozimet e ligjeve dhe rregulloreve të tjera.</w:t>
      </w:r>
    </w:p>
    <w:p w14:paraId="4EF06175"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Ky është hendek në ligj, sepse marrëveshjet e ndaluara, veçanërisht marrëveshjet e ndaluara horizontale ndërmjet konkurrentëve që rregullojnë çmimet ose tregjet e aksioneve (kartelet) përfaqësojnë kufizime thelbësore të konkurrencës për të cilat mund të vendosen gjobat më të larta. </w:t>
      </w:r>
    </w:p>
    <w:p w14:paraId="76D79F6A"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 xml:space="preserve">Gjoba e tillë e lartë për marrëveshjet e ndaluara përcaktohet në </w:t>
      </w:r>
      <w:r w:rsidR="006F11C5">
        <w:rPr>
          <w:rFonts w:ascii="Times New Roman" w:hAnsi="Times New Roman" w:cs="Times New Roman"/>
          <w:sz w:val="24"/>
          <w:szCs w:val="24"/>
        </w:rPr>
        <w:t>n</w:t>
      </w:r>
      <w:r w:rsidRPr="000D3717">
        <w:rPr>
          <w:rFonts w:ascii="Times New Roman" w:hAnsi="Times New Roman" w:cs="Times New Roman"/>
          <w:sz w:val="24"/>
          <w:szCs w:val="24"/>
        </w:rPr>
        <w:t>enin 56, paragrafi 1.1. i Ligjit të Konkurrencës.</w:t>
      </w:r>
    </w:p>
    <w:p w14:paraId="490BA483"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2% duket të jetë shumë e lartë duke pasur parasysh se zakonisht shumica e BE-së vendosin gjobën për shkeljet e vogla deri në 1% të totalit të xhiros së ndërmarrjes.</w:t>
      </w:r>
    </w:p>
    <w:p w14:paraId="5EB30AEE" w14:textId="77777777" w:rsidR="007602F2" w:rsidRPr="000D3717" w:rsidRDefault="007602F2" w:rsidP="007602F2">
      <w:pPr>
        <w:pStyle w:val="ListParagraph"/>
        <w:numPr>
          <w:ilvl w:val="0"/>
          <w:numId w:val="35"/>
        </w:numPr>
        <w:jc w:val="both"/>
        <w:rPr>
          <w:rFonts w:ascii="Times New Roman" w:hAnsi="Times New Roman" w:cs="Times New Roman"/>
          <w:sz w:val="24"/>
          <w:szCs w:val="24"/>
        </w:rPr>
      </w:pPr>
      <w:r w:rsidRPr="000D3717">
        <w:rPr>
          <w:rFonts w:ascii="Times New Roman" w:hAnsi="Times New Roman" w:cs="Times New Roman"/>
          <w:sz w:val="24"/>
          <w:szCs w:val="24"/>
        </w:rPr>
        <w:t>Megjithatë, autoritetet shtetërore u nënshtrohen rregullave të konkurrencës vetëm nëse ata marrin pjesë në treg dhe madje edhe atëherë, do të jenë personat juridikë që gjobiten dhe jo personat përgjegjës. Nëse kjo dispozitë i referohet kompanive shtetërore, atëherë kjo do të mbulohet nga paragrafi 1 i këtij neni. Për më tepër, shoqatat si shoqatat profesionale (odat ekonomike, shoqatat sportive etj.) mund të jenë subjekt i rregullave të konkurrencës dhe gjobiten për shkelje të Ligjit të Konkurrencës nëse konsiderohen si ndërmarrje. Për shembull, përkufizimi i marrëveshjeve të ndaluara në ligjin e konkurrencës së BE-së dhe në nenin 4 të Ligjit mbi Konkurrencën në Kosovë përfshijnë vendimet e shoqatave të ndërmarrjeve.</w:t>
      </w:r>
    </w:p>
    <w:p w14:paraId="15B74865" w14:textId="77777777" w:rsidR="007602F2" w:rsidRDefault="00D2733C" w:rsidP="000C25D9">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Neni 66</w:t>
      </w:r>
      <w:r w:rsidR="007602F2" w:rsidRPr="000D3717">
        <w:rPr>
          <w:rFonts w:ascii="Times New Roman" w:hAnsi="Times New Roman" w:cs="Times New Roman"/>
          <w:sz w:val="24"/>
          <w:szCs w:val="24"/>
        </w:rPr>
        <w:t xml:space="preserve"> duhet të ndryshohet dhe të përfshihet legjislacioni i BE-së në kuptim më të gjerë, i cili do të përfshijë jo vetëm direktivat, por edhe rregulloret, njoftimet e komisionit dhe udhëzimet. Për më tepër, bazuar në MSA, do të ishte e dobishme të shtohet referenca për zbatimin e kritereve të legjislacionit të BE-së për konkurrencën në zbatimin e ligjit nga ana e AKK-së sidomos në rastin e zbrazëtirave ligjore ose pasigurive. Në Ligjin e Konkurrencës nuk ka asnjë nen që rregullon kërkesat për dëmshpërblim për shkelje të ligjit të konkurrencës. Duke pasur parasysh se ekziston një Direktivë e BE-së 2014/104 për dëmet, do të ishte e dobishme që të ketë një nen të veçantë në ligjin e konkurrencës, që thotë se palët e dëmtuara mund të paraqesin kërkesa për dëmshpërblim për dëmin e shkaktuar nga shkelja e ligjit të konkurrencës nga vendimi i autoritetit të konkurrencës. Ky nen gjithashtu do të theksojë se cilat gjykata janë kompetente (zakonisht, gjykatat tregtare). Si një referencë </w:t>
      </w:r>
      <w:r w:rsidR="006F11C5">
        <w:rPr>
          <w:rFonts w:ascii="Times New Roman" w:hAnsi="Times New Roman" w:cs="Times New Roman"/>
          <w:sz w:val="24"/>
          <w:szCs w:val="24"/>
        </w:rPr>
        <w:t>n</w:t>
      </w:r>
      <w:r w:rsidR="007602F2" w:rsidRPr="000D3717">
        <w:rPr>
          <w:rFonts w:ascii="Times New Roman" w:hAnsi="Times New Roman" w:cs="Times New Roman"/>
          <w:sz w:val="24"/>
          <w:szCs w:val="24"/>
        </w:rPr>
        <w:t>eni 69a i Aktit të Konkurrencës Kroate mund të shërbejë edhe pse ekziston edhe Ligji i veçantë për kërkesat e dëmeve për shkeljen e rregullave të konkurrencës në Kroaci.</w:t>
      </w:r>
    </w:p>
    <w:p w14:paraId="33610ECD" w14:textId="64077D5E" w:rsidR="00D2733C" w:rsidRPr="001F7615" w:rsidRDefault="00D2733C" w:rsidP="000C25D9">
      <w:pPr>
        <w:pStyle w:val="CommentText"/>
        <w:numPr>
          <w:ilvl w:val="0"/>
          <w:numId w:val="35"/>
        </w:numPr>
        <w:spacing w:after="0"/>
        <w:rPr>
          <w:rFonts w:ascii="Times New Roman" w:hAnsi="Times New Roman" w:cs="Times New Roman"/>
          <w:sz w:val="24"/>
          <w:szCs w:val="24"/>
        </w:rPr>
      </w:pPr>
      <w:r w:rsidRPr="001F7615">
        <w:rPr>
          <w:rFonts w:ascii="Times New Roman" w:hAnsi="Times New Roman" w:cs="Times New Roman"/>
          <w:sz w:val="24"/>
          <w:szCs w:val="24"/>
        </w:rPr>
        <w:t>Neni 28</w:t>
      </w:r>
      <w:r w:rsidR="008753CB">
        <w:rPr>
          <w:rFonts w:ascii="Times New Roman" w:hAnsi="Times New Roman" w:cs="Times New Roman"/>
          <w:sz w:val="24"/>
          <w:szCs w:val="24"/>
        </w:rPr>
        <w:t xml:space="preserve"> të </w:t>
      </w:r>
      <w:r w:rsidRPr="001F7615">
        <w:rPr>
          <w:rFonts w:ascii="Times New Roman" w:hAnsi="Times New Roman" w:cs="Times New Roman"/>
          <w:sz w:val="24"/>
          <w:szCs w:val="24"/>
        </w:rPr>
        <w:t xml:space="preserve">shtohet një paragraf i ri ku parashihet t’u jep vlerësime dhe rekomandime organeve të administratës qendrore e vendore dhe institucioneve të tjera publike, shoqatave tregtare, sindikatave, shoqatave të konsumatorit, dhomave të tregtisë dhe të industrisë, për çështjet që lidhen me konkurrencën; </w:t>
      </w:r>
    </w:p>
    <w:p w14:paraId="2D81AC96" w14:textId="240C5B6D" w:rsidR="00D2733C" w:rsidRDefault="00D2733C" w:rsidP="00D0483F">
      <w:pPr>
        <w:pStyle w:val="CommentText"/>
        <w:ind w:left="720"/>
        <w:rPr>
          <w:rFonts w:ascii="Times New Roman" w:hAnsi="Times New Roman" w:cs="Times New Roman"/>
          <w:sz w:val="24"/>
          <w:szCs w:val="24"/>
        </w:rPr>
      </w:pPr>
      <w:r w:rsidRPr="001F7615">
        <w:rPr>
          <w:rFonts w:ascii="Times New Roman" w:hAnsi="Times New Roman" w:cs="Times New Roman"/>
          <w:sz w:val="24"/>
          <w:szCs w:val="24"/>
        </w:rPr>
        <w:t>Gjithashtu  propozojmë</w:t>
      </w:r>
      <w:r w:rsidR="008753CB">
        <w:rPr>
          <w:rFonts w:ascii="Times New Roman" w:hAnsi="Times New Roman" w:cs="Times New Roman"/>
          <w:sz w:val="24"/>
          <w:szCs w:val="24"/>
        </w:rPr>
        <w:t xml:space="preserve"> të </w:t>
      </w:r>
      <w:r w:rsidRPr="001F7615">
        <w:rPr>
          <w:rFonts w:ascii="Times New Roman" w:hAnsi="Times New Roman" w:cs="Times New Roman"/>
          <w:sz w:val="24"/>
          <w:szCs w:val="24"/>
        </w:rPr>
        <w:t>shtohen edhe tre (3) paragraf</w:t>
      </w:r>
      <w:r w:rsidR="00E56588">
        <w:rPr>
          <w:rFonts w:ascii="Times New Roman" w:hAnsi="Times New Roman" w:cs="Times New Roman"/>
          <w:sz w:val="24"/>
          <w:szCs w:val="24"/>
        </w:rPr>
        <w:t>ë</w:t>
      </w:r>
      <w:r w:rsidRPr="001F7615">
        <w:rPr>
          <w:rFonts w:ascii="Times New Roman" w:hAnsi="Times New Roman" w:cs="Times New Roman"/>
          <w:sz w:val="24"/>
          <w:szCs w:val="24"/>
        </w:rPr>
        <w:t xml:space="preserve"> </w:t>
      </w:r>
      <w:r w:rsidR="008753CB">
        <w:rPr>
          <w:rFonts w:ascii="Times New Roman" w:hAnsi="Times New Roman" w:cs="Times New Roman"/>
          <w:sz w:val="24"/>
          <w:szCs w:val="24"/>
        </w:rPr>
        <w:t xml:space="preserve"> të </w:t>
      </w:r>
      <w:r w:rsidRPr="001F7615">
        <w:rPr>
          <w:rFonts w:ascii="Times New Roman" w:hAnsi="Times New Roman" w:cs="Times New Roman"/>
          <w:sz w:val="24"/>
          <w:szCs w:val="24"/>
        </w:rPr>
        <w:t>r</w:t>
      </w:r>
      <w:r w:rsidR="00E56588">
        <w:rPr>
          <w:rFonts w:ascii="Times New Roman" w:hAnsi="Times New Roman" w:cs="Times New Roman"/>
          <w:sz w:val="24"/>
          <w:szCs w:val="24"/>
        </w:rPr>
        <w:t>i</w:t>
      </w:r>
      <w:r w:rsidRPr="001F7615">
        <w:rPr>
          <w:rFonts w:ascii="Times New Roman" w:hAnsi="Times New Roman" w:cs="Times New Roman"/>
          <w:sz w:val="24"/>
          <w:szCs w:val="24"/>
        </w:rPr>
        <w:t xml:space="preserve"> n</w:t>
      </w:r>
      <w:r w:rsidR="00E56588">
        <w:rPr>
          <w:rFonts w:ascii="Times New Roman" w:hAnsi="Times New Roman" w:cs="Times New Roman"/>
          <w:sz w:val="24"/>
          <w:szCs w:val="24"/>
        </w:rPr>
        <w:t>ë</w:t>
      </w:r>
      <w:r w:rsidRPr="001F7615">
        <w:rPr>
          <w:rFonts w:ascii="Times New Roman" w:hAnsi="Times New Roman" w:cs="Times New Roman"/>
          <w:sz w:val="24"/>
          <w:szCs w:val="24"/>
        </w:rPr>
        <w:t xml:space="preserve"> nenin 61.</w:t>
      </w:r>
      <w:r w:rsidR="008753CB">
        <w:rPr>
          <w:rFonts w:ascii="Times New Roman" w:hAnsi="Times New Roman" w:cs="Times New Roman"/>
          <w:sz w:val="24"/>
          <w:szCs w:val="24"/>
        </w:rPr>
        <w:t xml:space="preserve"> të </w:t>
      </w:r>
      <w:r w:rsidRPr="001F7615">
        <w:rPr>
          <w:rFonts w:ascii="Times New Roman" w:hAnsi="Times New Roman" w:cs="Times New Roman"/>
          <w:sz w:val="24"/>
          <w:szCs w:val="24"/>
        </w:rPr>
        <w:t>Ligjit 03/L-229 për Mbrojtjen e Konkurrencës.</w:t>
      </w:r>
    </w:p>
    <w:p w14:paraId="62C6AF5C" w14:textId="77777777" w:rsidR="00D2733C" w:rsidRDefault="00D2733C" w:rsidP="00D0483F">
      <w:pPr>
        <w:pStyle w:val="CommentText"/>
        <w:ind w:left="720"/>
        <w:jc w:val="both"/>
        <w:rPr>
          <w:rFonts w:ascii="Times New Roman" w:hAnsi="Times New Roman" w:cs="Times New Roman"/>
          <w:sz w:val="24"/>
          <w:szCs w:val="24"/>
        </w:rPr>
      </w:pPr>
      <w:r w:rsidRPr="00D2733C">
        <w:rPr>
          <w:rFonts w:ascii="Times New Roman" w:hAnsi="Times New Roman" w:cs="Times New Roman"/>
          <w:sz w:val="24"/>
          <w:szCs w:val="24"/>
        </w:rPr>
        <w:lastRenderedPageBreak/>
        <w:t>Par</w:t>
      </w:r>
      <w:r>
        <w:rPr>
          <w:rFonts w:ascii="Times New Roman" w:hAnsi="Times New Roman" w:cs="Times New Roman"/>
          <w:sz w:val="24"/>
          <w:szCs w:val="24"/>
        </w:rPr>
        <w:t>agrafi</w:t>
      </w:r>
      <w:r w:rsidRPr="00D2733C">
        <w:rPr>
          <w:rFonts w:ascii="Times New Roman" w:hAnsi="Times New Roman" w:cs="Times New Roman"/>
          <w:sz w:val="24"/>
          <w:szCs w:val="24"/>
        </w:rPr>
        <w:t xml:space="preserve"> 4</w:t>
      </w:r>
      <w:r>
        <w:rPr>
          <w:rFonts w:ascii="Times New Roman" w:hAnsi="Times New Roman" w:cs="Times New Roman"/>
          <w:sz w:val="24"/>
          <w:szCs w:val="24"/>
        </w:rPr>
        <w:t xml:space="preserve"> : </w:t>
      </w:r>
      <w:r w:rsidRPr="001F7615">
        <w:rPr>
          <w:rFonts w:ascii="Times New Roman" w:hAnsi="Times New Roman" w:cs="Times New Roman"/>
          <w:sz w:val="24"/>
          <w:szCs w:val="24"/>
        </w:rPr>
        <w:t>Autoritetet e administratës qendrore dhe vendore, entet dhe institucionet e tjera rregullatorë, gjatë kryerjes së detyrave për rregullimin e veprimtarisë ekonomike në territorin e Republikës së Kosovës, janë të detyruara të zbatojnë dispozitat e këtij ligji dhe të sigurojnë një konkurrencë të ndershme dhe efektive.</w:t>
      </w:r>
    </w:p>
    <w:p w14:paraId="7B425773" w14:textId="77777777" w:rsidR="00D2733C" w:rsidRPr="001F7615" w:rsidRDefault="00D2733C" w:rsidP="00D0483F">
      <w:pPr>
        <w:pStyle w:val="CommentText"/>
        <w:ind w:left="720"/>
        <w:jc w:val="both"/>
        <w:rPr>
          <w:rFonts w:ascii="Times New Roman" w:hAnsi="Times New Roman" w:cs="Times New Roman"/>
          <w:sz w:val="24"/>
          <w:szCs w:val="24"/>
        </w:rPr>
      </w:pPr>
      <w:r w:rsidRPr="00D2733C">
        <w:rPr>
          <w:rFonts w:ascii="Times New Roman" w:hAnsi="Times New Roman" w:cs="Times New Roman"/>
          <w:sz w:val="24"/>
          <w:szCs w:val="24"/>
        </w:rPr>
        <w:t>Par</w:t>
      </w:r>
      <w:r>
        <w:rPr>
          <w:rFonts w:ascii="Times New Roman" w:hAnsi="Times New Roman" w:cs="Times New Roman"/>
          <w:sz w:val="24"/>
          <w:szCs w:val="24"/>
        </w:rPr>
        <w:t xml:space="preserve">agrafi </w:t>
      </w:r>
      <w:r w:rsidRPr="00D2733C">
        <w:rPr>
          <w:rFonts w:ascii="Times New Roman" w:hAnsi="Times New Roman" w:cs="Times New Roman"/>
          <w:sz w:val="24"/>
          <w:szCs w:val="24"/>
        </w:rPr>
        <w:t>5</w:t>
      </w:r>
      <w:r>
        <w:rPr>
          <w:rFonts w:ascii="Times New Roman" w:hAnsi="Times New Roman" w:cs="Times New Roman"/>
          <w:sz w:val="24"/>
          <w:szCs w:val="24"/>
        </w:rPr>
        <w:t xml:space="preserve">: </w:t>
      </w:r>
      <w:r w:rsidRPr="001F7615">
        <w:rPr>
          <w:rFonts w:ascii="Times New Roman" w:hAnsi="Times New Roman" w:cs="Times New Roman"/>
          <w:sz w:val="24"/>
          <w:szCs w:val="24"/>
        </w:rPr>
        <w:t>Autoriteti, për arsye të interesit të përgjithshëm, vlerëson, në veçanti, barrierat rregulluese të konkurrencës, të përfshira në rregullimin ekonomik dhe administrativ. Në  këto raste Autoriteti bën rekomandimet përkatëse dhe.</w:t>
      </w:r>
    </w:p>
    <w:p w14:paraId="3B21E0B9" w14:textId="3E5A0DF1" w:rsidR="00D2733C" w:rsidRPr="001F7615" w:rsidRDefault="00D2733C" w:rsidP="00D0483F">
      <w:pPr>
        <w:pStyle w:val="CommentText"/>
        <w:ind w:left="720"/>
        <w:jc w:val="both"/>
        <w:rPr>
          <w:rFonts w:ascii="Times New Roman" w:hAnsi="Times New Roman" w:cs="Times New Roman"/>
          <w:sz w:val="24"/>
          <w:szCs w:val="24"/>
        </w:rPr>
      </w:pPr>
      <w:r w:rsidRPr="001F7615">
        <w:rPr>
          <w:rFonts w:ascii="Times New Roman" w:hAnsi="Times New Roman" w:cs="Times New Roman"/>
          <w:sz w:val="24"/>
          <w:szCs w:val="24"/>
        </w:rPr>
        <w:t xml:space="preserve">Par.6  Autoriteti, për zbatimin e këtij ligji në sektorët e rregulluar, bashkëpunon me entet dhe institucionet e tjera </w:t>
      </w:r>
      <w:r w:rsidR="00EF3D1F" w:rsidRPr="001F7615">
        <w:rPr>
          <w:rFonts w:ascii="Times New Roman" w:hAnsi="Times New Roman" w:cs="Times New Roman"/>
          <w:sz w:val="24"/>
          <w:szCs w:val="24"/>
        </w:rPr>
        <w:t>rregullatorë</w:t>
      </w:r>
      <w:r w:rsidRPr="001F7615">
        <w:rPr>
          <w:rFonts w:ascii="Times New Roman" w:hAnsi="Times New Roman" w:cs="Times New Roman"/>
          <w:sz w:val="24"/>
          <w:szCs w:val="24"/>
        </w:rPr>
        <w:t>.</w:t>
      </w:r>
    </w:p>
    <w:p w14:paraId="1DB6DC1F" w14:textId="091C3AD8" w:rsidR="00D2733C" w:rsidRDefault="00D2733C" w:rsidP="00D0483F">
      <w:pPr>
        <w:pStyle w:val="CommentText"/>
        <w:ind w:left="720"/>
        <w:jc w:val="both"/>
        <w:rPr>
          <w:rFonts w:ascii="Times New Roman" w:hAnsi="Times New Roman" w:cs="Times New Roman"/>
          <w:sz w:val="24"/>
          <w:szCs w:val="24"/>
        </w:rPr>
      </w:pPr>
      <w:r w:rsidRPr="001F7615">
        <w:rPr>
          <w:rFonts w:ascii="Times New Roman" w:hAnsi="Times New Roman" w:cs="Times New Roman"/>
          <w:sz w:val="24"/>
          <w:szCs w:val="24"/>
        </w:rPr>
        <w:t>Nenit  35  ti shtohet një paragraf i ri si n</w:t>
      </w:r>
      <w:r w:rsidR="007F6086">
        <w:rPr>
          <w:rFonts w:ascii="Times New Roman" w:hAnsi="Times New Roman" w:cs="Times New Roman"/>
          <w:sz w:val="24"/>
          <w:szCs w:val="24"/>
        </w:rPr>
        <w:t>ë</w:t>
      </w:r>
      <w:r w:rsidRPr="001F7615">
        <w:rPr>
          <w:rFonts w:ascii="Times New Roman" w:hAnsi="Times New Roman" w:cs="Times New Roman"/>
          <w:sz w:val="24"/>
          <w:szCs w:val="24"/>
        </w:rPr>
        <w:t xml:space="preserve"> vijim: </w:t>
      </w:r>
    </w:p>
    <w:p w14:paraId="0B274C9C" w14:textId="2C82EA0E" w:rsidR="00D2733C" w:rsidRPr="00D0483F" w:rsidRDefault="00D2733C" w:rsidP="00D0483F">
      <w:pPr>
        <w:ind w:left="720"/>
        <w:jc w:val="both"/>
        <w:rPr>
          <w:rFonts w:ascii="Times New Roman" w:hAnsi="Times New Roman" w:cs="Times New Roman"/>
          <w:sz w:val="24"/>
          <w:szCs w:val="24"/>
        </w:rPr>
      </w:pPr>
      <w:r w:rsidRPr="00D0483F">
        <w:rPr>
          <w:rFonts w:ascii="Times New Roman" w:hAnsi="Times New Roman" w:cs="Times New Roman"/>
          <w:sz w:val="24"/>
          <w:szCs w:val="24"/>
        </w:rPr>
        <w:t>- Autoriteti n</w:t>
      </w:r>
      <w:r w:rsidR="007F6086">
        <w:rPr>
          <w:rFonts w:ascii="Times New Roman" w:hAnsi="Times New Roman" w:cs="Times New Roman"/>
          <w:sz w:val="24"/>
          <w:szCs w:val="24"/>
        </w:rPr>
        <w:t>ë</w:t>
      </w:r>
      <w:r w:rsidRPr="00D0483F">
        <w:rPr>
          <w:rFonts w:ascii="Times New Roman" w:hAnsi="Times New Roman" w:cs="Times New Roman"/>
          <w:sz w:val="24"/>
          <w:szCs w:val="24"/>
        </w:rPr>
        <w:t xml:space="preserve"> baze</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Iniciativës, kërkesës dhe sipas detyrës zyrtare  munde</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nxjerr Rekomandime ndaj Organeve  Qendrore</w:t>
      </w:r>
      <w:r w:rsidR="008753CB">
        <w:rPr>
          <w:rFonts w:ascii="Times New Roman" w:hAnsi="Times New Roman" w:cs="Times New Roman"/>
          <w:sz w:val="24"/>
          <w:szCs w:val="24"/>
        </w:rPr>
        <w:t xml:space="preserve"> të </w:t>
      </w:r>
      <w:r w:rsidRPr="00D0483F">
        <w:rPr>
          <w:rFonts w:ascii="Times New Roman" w:hAnsi="Times New Roman" w:cs="Times New Roman"/>
          <w:sz w:val="24"/>
          <w:szCs w:val="24"/>
        </w:rPr>
        <w:t>administratës publike dhe Lokale, personave juridik me autoritet publik, për rivendosjen e konkurrencës se lir</w:t>
      </w:r>
      <w:r w:rsidR="007F6086">
        <w:rPr>
          <w:rFonts w:ascii="Times New Roman" w:hAnsi="Times New Roman" w:cs="Times New Roman"/>
          <w:sz w:val="24"/>
          <w:szCs w:val="24"/>
        </w:rPr>
        <w:t>ë</w:t>
      </w:r>
      <w:r w:rsidRPr="00D0483F">
        <w:rPr>
          <w:rFonts w:ascii="Times New Roman" w:hAnsi="Times New Roman" w:cs="Times New Roman"/>
          <w:sz w:val="24"/>
          <w:szCs w:val="24"/>
        </w:rPr>
        <w:t xml:space="preserve"> dhe efektive n</w:t>
      </w:r>
      <w:r w:rsidR="007F6086">
        <w:rPr>
          <w:rFonts w:ascii="Times New Roman" w:hAnsi="Times New Roman" w:cs="Times New Roman"/>
          <w:sz w:val="24"/>
          <w:szCs w:val="24"/>
        </w:rPr>
        <w:t>ë</w:t>
      </w:r>
      <w:r w:rsidRPr="00D0483F">
        <w:rPr>
          <w:rFonts w:ascii="Times New Roman" w:hAnsi="Times New Roman" w:cs="Times New Roman"/>
          <w:sz w:val="24"/>
          <w:szCs w:val="24"/>
        </w:rPr>
        <w:t xml:space="preserve"> treg.</w:t>
      </w:r>
      <w:r>
        <w:t xml:space="preserve">   </w:t>
      </w:r>
    </w:p>
    <w:p w14:paraId="7DB2AAC0" w14:textId="19C37F03" w:rsidR="0075339D" w:rsidRPr="000D3717" w:rsidRDefault="00180BB0" w:rsidP="00A46D67">
      <w:pPr>
        <w:pStyle w:val="Heading2"/>
        <w:rPr>
          <w:rFonts w:ascii="Times New Roman" w:hAnsi="Times New Roman" w:cs="Times New Roman"/>
          <w:sz w:val="24"/>
          <w:szCs w:val="24"/>
        </w:rPr>
      </w:pPr>
      <w:bookmarkStart w:id="13" w:name="_Toc532388158"/>
      <w:r w:rsidRPr="000D3717">
        <w:rPr>
          <w:rFonts w:ascii="Times New Roman" w:hAnsi="Times New Roman" w:cs="Times New Roman"/>
          <w:sz w:val="24"/>
          <w:szCs w:val="24"/>
        </w:rPr>
        <w:t>Kapitulli</w:t>
      </w:r>
      <w:r w:rsidR="00A46D67" w:rsidRPr="000D3717">
        <w:rPr>
          <w:rFonts w:ascii="Times New Roman" w:hAnsi="Times New Roman" w:cs="Times New Roman"/>
          <w:sz w:val="24"/>
          <w:szCs w:val="24"/>
        </w:rPr>
        <w:t xml:space="preserve"> 3.3: </w:t>
      </w:r>
      <w:r w:rsidR="00E32968" w:rsidRPr="000D3717">
        <w:rPr>
          <w:rFonts w:ascii="Times New Roman" w:hAnsi="Times New Roman" w:cs="Times New Roman"/>
          <w:sz w:val="24"/>
          <w:szCs w:val="24"/>
        </w:rPr>
        <w:t>Opsioni i tretë</w:t>
      </w:r>
      <w:r w:rsidR="0019201A" w:rsidRPr="000D3717">
        <w:rPr>
          <w:rFonts w:ascii="Times New Roman" w:hAnsi="Times New Roman" w:cs="Times New Roman"/>
          <w:sz w:val="24"/>
          <w:szCs w:val="24"/>
        </w:rPr>
        <w:t xml:space="preserve"> për ngritjen e kapaciteteve profesionale</w:t>
      </w:r>
      <w:r w:rsidR="008753CB">
        <w:rPr>
          <w:rFonts w:ascii="Times New Roman" w:hAnsi="Times New Roman" w:cs="Times New Roman"/>
          <w:sz w:val="24"/>
          <w:szCs w:val="24"/>
        </w:rPr>
        <w:t xml:space="preserve"> të </w:t>
      </w:r>
      <w:r w:rsidR="0019201A" w:rsidRPr="000D3717">
        <w:rPr>
          <w:rFonts w:ascii="Times New Roman" w:hAnsi="Times New Roman" w:cs="Times New Roman"/>
          <w:sz w:val="24"/>
          <w:szCs w:val="24"/>
        </w:rPr>
        <w:t>AKK</w:t>
      </w:r>
      <w:bookmarkEnd w:id="13"/>
    </w:p>
    <w:p w14:paraId="4A4D7CCA" w14:textId="77777777" w:rsidR="0019201A" w:rsidRPr="000D3717" w:rsidRDefault="0019201A" w:rsidP="00A61B6E">
      <w:pPr>
        <w:rPr>
          <w:rFonts w:ascii="Times New Roman" w:hAnsi="Times New Roman" w:cs="Times New Roman"/>
          <w:sz w:val="24"/>
          <w:szCs w:val="24"/>
        </w:rPr>
      </w:pPr>
    </w:p>
    <w:p w14:paraId="19B920BC" w14:textId="31017291" w:rsidR="009A19F9" w:rsidRPr="000D3717" w:rsidRDefault="00DC6579" w:rsidP="000D3717">
      <w:pPr>
        <w:jc w:val="both"/>
        <w:rPr>
          <w:rFonts w:ascii="Times New Roman" w:hAnsi="Times New Roman" w:cs="Times New Roman"/>
          <w:sz w:val="24"/>
          <w:szCs w:val="24"/>
        </w:rPr>
      </w:pPr>
      <w:r w:rsidRPr="000D3717">
        <w:rPr>
          <w:rFonts w:ascii="Times New Roman" w:hAnsi="Times New Roman" w:cs="Times New Roman"/>
          <w:sz w:val="24"/>
          <w:szCs w:val="24"/>
        </w:rPr>
        <w:t>Opsioni i trete për ngritjen e kapaciteteve profesionale</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 xml:space="preserve">AKK si </w:t>
      </w:r>
      <w:r w:rsidR="007A22F0" w:rsidRPr="000D3717">
        <w:rPr>
          <w:rFonts w:ascii="Times New Roman" w:hAnsi="Times New Roman" w:cs="Times New Roman"/>
          <w:sz w:val="24"/>
          <w:szCs w:val="24"/>
        </w:rPr>
        <w:t>mundësi</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adresimin e problemit pa përdorur </w:t>
      </w:r>
      <w:r w:rsidR="007A22F0" w:rsidRPr="000D3717">
        <w:rPr>
          <w:rFonts w:ascii="Times New Roman" w:hAnsi="Times New Roman" w:cs="Times New Roman"/>
          <w:sz w:val="24"/>
          <w:szCs w:val="24"/>
        </w:rPr>
        <w:t>legjislacionin</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është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një mundësi</w:t>
      </w:r>
      <w:r w:rsidRPr="000D3717">
        <w:rPr>
          <w:rFonts w:ascii="Times New Roman" w:hAnsi="Times New Roman" w:cs="Times New Roman"/>
          <w:sz w:val="24"/>
          <w:szCs w:val="24"/>
        </w:rPr>
        <w:t xml:space="preserve"> q</w:t>
      </w:r>
      <w:r w:rsidR="007F6086">
        <w:rPr>
          <w:rFonts w:ascii="Times New Roman" w:hAnsi="Times New Roman" w:cs="Times New Roman"/>
          <w:sz w:val="24"/>
          <w:szCs w:val="24"/>
        </w:rPr>
        <w:t>ë</w:t>
      </w:r>
      <w:r w:rsidRPr="000D3717">
        <w:rPr>
          <w:rFonts w:ascii="Times New Roman" w:hAnsi="Times New Roman" w:cs="Times New Roman"/>
          <w:sz w:val="24"/>
          <w:szCs w:val="24"/>
        </w:rPr>
        <w:t xml:space="preserve"> mund</w:t>
      </w:r>
      <w:r w:rsidR="008753CB">
        <w:rPr>
          <w:rFonts w:ascii="Times New Roman" w:hAnsi="Times New Roman" w:cs="Times New Roman"/>
          <w:sz w:val="24"/>
          <w:szCs w:val="24"/>
        </w:rPr>
        <w:t xml:space="preserve"> të </w:t>
      </w:r>
      <w:proofErr w:type="spellStart"/>
      <w:r w:rsidRPr="000D3717">
        <w:rPr>
          <w:rFonts w:ascii="Times New Roman" w:hAnsi="Times New Roman" w:cs="Times New Roman"/>
          <w:sz w:val="24"/>
          <w:szCs w:val="24"/>
        </w:rPr>
        <w:t>implementohet</w:t>
      </w:r>
      <w:proofErr w:type="spellEnd"/>
      <w:r w:rsidRPr="000D3717">
        <w:rPr>
          <w:rFonts w:ascii="Times New Roman" w:hAnsi="Times New Roman" w:cs="Times New Roman"/>
          <w:sz w:val="24"/>
          <w:szCs w:val="24"/>
        </w:rPr>
        <w:t xml:space="preserve"> shpejt</w:t>
      </w:r>
      <w:r w:rsidR="007F6086">
        <w:rPr>
          <w:rFonts w:ascii="Times New Roman" w:hAnsi="Times New Roman" w:cs="Times New Roman"/>
          <w:sz w:val="24"/>
          <w:szCs w:val="24"/>
        </w:rPr>
        <w:t>ë</w:t>
      </w:r>
      <w:r w:rsidRPr="000D3717">
        <w:rPr>
          <w:rFonts w:ascii="Times New Roman" w:hAnsi="Times New Roman" w:cs="Times New Roman"/>
          <w:sz w:val="24"/>
          <w:szCs w:val="24"/>
        </w:rPr>
        <w:t xml:space="preserve"> </w:t>
      </w:r>
      <w:proofErr w:type="spellStart"/>
      <w:r w:rsidR="007A22F0" w:rsidRPr="000D3717">
        <w:rPr>
          <w:rFonts w:ascii="Times New Roman" w:hAnsi="Times New Roman" w:cs="Times New Roman"/>
          <w:sz w:val="24"/>
          <w:szCs w:val="24"/>
        </w:rPr>
        <w:t>pasiq</w:t>
      </w:r>
      <w:r w:rsidR="007F6086">
        <w:rPr>
          <w:rFonts w:ascii="Times New Roman" w:hAnsi="Times New Roman" w:cs="Times New Roman"/>
          <w:sz w:val="24"/>
          <w:szCs w:val="24"/>
        </w:rPr>
        <w:t>ë</w:t>
      </w:r>
      <w:proofErr w:type="spellEnd"/>
      <w:r w:rsidRPr="000D3717">
        <w:rPr>
          <w:rFonts w:ascii="Times New Roman" w:hAnsi="Times New Roman" w:cs="Times New Roman"/>
          <w:sz w:val="24"/>
          <w:szCs w:val="24"/>
        </w:rPr>
        <w:t xml:space="preserve"> nuk ka </w:t>
      </w:r>
      <w:r w:rsidR="007A22F0" w:rsidRPr="000D3717">
        <w:rPr>
          <w:rFonts w:ascii="Times New Roman" w:hAnsi="Times New Roman" w:cs="Times New Roman"/>
          <w:sz w:val="24"/>
          <w:szCs w:val="24"/>
        </w:rPr>
        <w:t>nevojë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për</w:t>
      </w:r>
      <w:r w:rsidRPr="000D3717">
        <w:rPr>
          <w:rFonts w:ascii="Times New Roman" w:hAnsi="Times New Roman" w:cs="Times New Roman"/>
          <w:sz w:val="24"/>
          <w:szCs w:val="24"/>
        </w:rPr>
        <w:t xml:space="preserve"> ndryshime ligjore. </w:t>
      </w:r>
      <w:r w:rsidR="007A22F0" w:rsidRPr="000D3717">
        <w:rPr>
          <w:rFonts w:ascii="Times New Roman" w:hAnsi="Times New Roman" w:cs="Times New Roman"/>
          <w:sz w:val="24"/>
          <w:szCs w:val="24"/>
        </w:rPr>
        <w:t>Mirëpo</w:t>
      </w:r>
      <w:r w:rsidRPr="000D3717">
        <w:rPr>
          <w:rFonts w:ascii="Times New Roman" w:hAnsi="Times New Roman" w:cs="Times New Roman"/>
          <w:sz w:val="24"/>
          <w:szCs w:val="24"/>
        </w:rPr>
        <w:t>, ky opsion do ti adresonte deri n</w:t>
      </w:r>
      <w:r w:rsidR="007F6086">
        <w:rPr>
          <w:rFonts w:ascii="Times New Roman" w:hAnsi="Times New Roman" w:cs="Times New Roman"/>
          <w:sz w:val="24"/>
          <w:szCs w:val="24"/>
        </w:rPr>
        <w:t>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një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masë</w:t>
      </w:r>
      <w:r w:rsidRPr="000D3717">
        <w:rPr>
          <w:rFonts w:ascii="Times New Roman" w:hAnsi="Times New Roman" w:cs="Times New Roman"/>
          <w:sz w:val="24"/>
          <w:szCs w:val="24"/>
        </w:rPr>
        <w:t xml:space="preserve"> efektet dhe shkaqet</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cilat shpien tek problemi kryesor q</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po analizohet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këtë</w:t>
      </w:r>
      <w:r w:rsidRPr="000D3717">
        <w:rPr>
          <w:rFonts w:ascii="Times New Roman" w:hAnsi="Times New Roman" w:cs="Times New Roman"/>
          <w:sz w:val="24"/>
          <w:szCs w:val="24"/>
        </w:rPr>
        <w:t xml:space="preserve"> Koncept Dokument. </w:t>
      </w:r>
      <w:r w:rsidR="007A22F0" w:rsidRPr="000D3717">
        <w:rPr>
          <w:rFonts w:ascii="Times New Roman" w:hAnsi="Times New Roman" w:cs="Times New Roman"/>
          <w:sz w:val="24"/>
          <w:szCs w:val="24"/>
        </w:rPr>
        <w:t>Meqenëse</w:t>
      </w:r>
      <w:r w:rsidRPr="000D3717">
        <w:rPr>
          <w:rFonts w:ascii="Times New Roman" w:hAnsi="Times New Roman" w:cs="Times New Roman"/>
          <w:sz w:val="24"/>
          <w:szCs w:val="24"/>
        </w:rPr>
        <w:t>, problemet q</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janë</w:t>
      </w:r>
      <w:r w:rsidRPr="000D3717">
        <w:rPr>
          <w:rFonts w:ascii="Times New Roman" w:hAnsi="Times New Roman" w:cs="Times New Roman"/>
          <w:sz w:val="24"/>
          <w:szCs w:val="24"/>
        </w:rPr>
        <w:t xml:space="preserve"> identifikuar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këtë</w:t>
      </w:r>
      <w:r w:rsidRPr="000D3717">
        <w:rPr>
          <w:rFonts w:ascii="Times New Roman" w:hAnsi="Times New Roman" w:cs="Times New Roman"/>
          <w:sz w:val="24"/>
          <w:szCs w:val="24"/>
        </w:rPr>
        <w:t xml:space="preserve"> Koncept Dokument </w:t>
      </w:r>
      <w:r w:rsidR="007A22F0" w:rsidRPr="000D3717">
        <w:rPr>
          <w:rFonts w:ascii="Times New Roman" w:hAnsi="Times New Roman" w:cs="Times New Roman"/>
          <w:sz w:val="24"/>
          <w:szCs w:val="24"/>
        </w:rPr>
        <w:t>janë</w:t>
      </w:r>
      <w:r w:rsidRPr="000D3717">
        <w:rPr>
          <w:rFonts w:ascii="Times New Roman" w:hAnsi="Times New Roman" w:cs="Times New Roman"/>
          <w:sz w:val="24"/>
          <w:szCs w:val="24"/>
        </w:rPr>
        <w:t xml:space="preserve"> </w:t>
      </w:r>
      <w:r w:rsidR="007A22F0" w:rsidRPr="000D3717">
        <w:rPr>
          <w:rFonts w:ascii="Times New Roman" w:hAnsi="Times New Roman" w:cs="Times New Roman"/>
          <w:sz w:val="24"/>
          <w:szCs w:val="24"/>
        </w:rPr>
        <w:t>kryesisht</w:t>
      </w:r>
      <w:r w:rsidRPr="000D3717">
        <w:rPr>
          <w:rFonts w:ascii="Times New Roman" w:hAnsi="Times New Roman" w:cs="Times New Roman"/>
          <w:sz w:val="24"/>
          <w:szCs w:val="24"/>
        </w:rPr>
        <w:t xml:space="preserve">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ndërlidhura me bazën aktuale ligjore </w:t>
      </w:r>
      <w:r w:rsidR="007A22F0" w:rsidRPr="000D3717">
        <w:rPr>
          <w:rFonts w:ascii="Times New Roman" w:hAnsi="Times New Roman" w:cs="Times New Roman"/>
          <w:sz w:val="24"/>
          <w:szCs w:val="24"/>
        </w:rPr>
        <w:t>atëherë</w:t>
      </w:r>
      <w:r w:rsidRPr="000D3717">
        <w:rPr>
          <w:rFonts w:ascii="Times New Roman" w:hAnsi="Times New Roman" w:cs="Times New Roman"/>
          <w:sz w:val="24"/>
          <w:szCs w:val="24"/>
        </w:rPr>
        <w:t xml:space="preserve"> kemi ardhur n</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konkluzion se opsioni i tret</w:t>
      </w:r>
      <w:r w:rsidR="007F6086">
        <w:rPr>
          <w:rFonts w:ascii="Times New Roman" w:hAnsi="Times New Roman" w:cs="Times New Roman"/>
          <w:sz w:val="24"/>
          <w:szCs w:val="24"/>
        </w:rPr>
        <w:t>ë</w:t>
      </w:r>
      <w:r w:rsidRPr="000D3717">
        <w:rPr>
          <w:rFonts w:ascii="Times New Roman" w:hAnsi="Times New Roman" w:cs="Times New Roman"/>
          <w:sz w:val="24"/>
          <w:szCs w:val="24"/>
        </w:rPr>
        <w:t xml:space="preserve"> nuk mund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adresoj plotësisht problemin kryesor t</w:t>
      </w:r>
      <w:r w:rsidR="006F11C5">
        <w:rPr>
          <w:rFonts w:ascii="Times New Roman" w:hAnsi="Times New Roman" w:cs="Times New Roman"/>
          <w:sz w:val="24"/>
          <w:szCs w:val="24"/>
        </w:rPr>
        <w:t>ë</w:t>
      </w:r>
      <w:r w:rsidRPr="000D3717">
        <w:rPr>
          <w:rFonts w:ascii="Times New Roman" w:hAnsi="Times New Roman" w:cs="Times New Roman"/>
          <w:sz w:val="24"/>
          <w:szCs w:val="24"/>
        </w:rPr>
        <w:t xml:space="preserve"> identifikuar. </w:t>
      </w:r>
    </w:p>
    <w:p w14:paraId="6E298D7B" w14:textId="77777777" w:rsidR="0075339D" w:rsidRPr="000D3717" w:rsidRDefault="00180BB0" w:rsidP="00A61B6E">
      <w:pPr>
        <w:pStyle w:val="Heading1"/>
        <w:rPr>
          <w:rFonts w:ascii="Times New Roman" w:hAnsi="Times New Roman" w:cs="Times New Roman"/>
          <w:sz w:val="24"/>
          <w:szCs w:val="24"/>
        </w:rPr>
      </w:pPr>
      <w:bookmarkStart w:id="14" w:name="_Toc532388159"/>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4: Identifi</w:t>
      </w:r>
      <w:r w:rsidRPr="000D3717">
        <w:rPr>
          <w:rFonts w:ascii="Times New Roman" w:hAnsi="Times New Roman" w:cs="Times New Roman"/>
          <w:sz w:val="24"/>
          <w:szCs w:val="24"/>
        </w:rPr>
        <w:t>kimi dhe vlerësimi i ndikimeve të ardhshme</w:t>
      </w:r>
      <w:bookmarkEnd w:id="14"/>
      <w:r w:rsidR="0075339D" w:rsidRPr="000D3717">
        <w:rPr>
          <w:rFonts w:ascii="Times New Roman" w:hAnsi="Times New Roman" w:cs="Times New Roman"/>
          <w:sz w:val="24"/>
          <w:szCs w:val="24"/>
        </w:rPr>
        <w:t xml:space="preserve"> </w:t>
      </w:r>
    </w:p>
    <w:p w14:paraId="4B25A8EF" w14:textId="77777777" w:rsidR="00494035" w:rsidRDefault="00494035" w:rsidP="00D0483F"/>
    <w:p w14:paraId="7ECEBF66" w14:textId="77777777" w:rsidR="00494035" w:rsidRPr="00D0483F" w:rsidRDefault="00494035" w:rsidP="00D0483F">
      <w:pPr>
        <w:jc w:val="both"/>
        <w:rPr>
          <w:rFonts w:ascii="Times New Roman" w:hAnsi="Times New Roman" w:cs="Times New Roman"/>
          <w:sz w:val="24"/>
          <w:szCs w:val="24"/>
        </w:rPr>
      </w:pPr>
      <w:r w:rsidRPr="00D0483F">
        <w:rPr>
          <w:rFonts w:ascii="Times New Roman" w:hAnsi="Times New Roman" w:cs="Times New Roman"/>
          <w:sz w:val="24"/>
          <w:szCs w:val="24"/>
        </w:rPr>
        <w:t>Vlerësimi i Ndikimeve të Ardhshme</w:t>
      </w:r>
    </w:p>
    <w:p w14:paraId="5C919F71" w14:textId="77777777" w:rsidR="00494035" w:rsidRPr="00D0483F" w:rsidRDefault="00494035" w:rsidP="00D0483F">
      <w:pPr>
        <w:jc w:val="both"/>
        <w:rPr>
          <w:rFonts w:ascii="Times New Roman" w:hAnsi="Times New Roman" w:cs="Times New Roman"/>
          <w:sz w:val="24"/>
          <w:szCs w:val="24"/>
        </w:rPr>
      </w:pPr>
      <w:r w:rsidRPr="00D0483F">
        <w:rPr>
          <w:rFonts w:ascii="Times New Roman" w:hAnsi="Times New Roman" w:cs="Times New Roman"/>
          <w:sz w:val="24"/>
          <w:szCs w:val="24"/>
        </w:rPr>
        <w:t xml:space="preserve">Tregjet që karakterizohen me më shumë konkurrencë, me më shumë lojtarë në treg dhe më shumë rivalitet, nxjerrin rezultate më të mira të tregut.  Këto rezultate përfshijnë çmime më të ulëta dhe qasje më të mirë në shërbime dhe produkt për konsumatorët.  Në anën tjetër, tregu konkurrues duhet të sigurojë prodhimtari që është konkurrente në tregun ndërkombëtar, që rezulton me rritje të eksporteve, vendeve të punës dhe rritje të ekonomisë. </w:t>
      </w:r>
    </w:p>
    <w:p w14:paraId="599EA7C3" w14:textId="7F03D5CA" w:rsidR="00494035" w:rsidRPr="00D0483F" w:rsidRDefault="00494035" w:rsidP="00D0483F">
      <w:pPr>
        <w:jc w:val="both"/>
        <w:rPr>
          <w:rFonts w:ascii="Times New Roman" w:hAnsi="Times New Roman" w:cs="Times New Roman"/>
          <w:sz w:val="24"/>
          <w:szCs w:val="24"/>
        </w:rPr>
      </w:pPr>
      <w:r w:rsidRPr="00D0483F">
        <w:rPr>
          <w:rFonts w:ascii="Times New Roman" w:hAnsi="Times New Roman" w:cs="Times New Roman"/>
          <w:sz w:val="24"/>
          <w:szCs w:val="24"/>
        </w:rPr>
        <w:t xml:space="preserve">Sa i përket përmirësimeve të propozuara në opsionin e rekomanduar, qëllimi i përgjithshëm është forcimi i konkurrencës në Kosovë.  Shumica e masave të propozuara janë të natyrës ligjore-administrative ndikimi i të cilave është </w:t>
      </w:r>
      <w:r w:rsidR="002424F3">
        <w:rPr>
          <w:rFonts w:ascii="Times New Roman" w:hAnsi="Times New Roman" w:cs="Times New Roman"/>
          <w:sz w:val="24"/>
          <w:szCs w:val="24"/>
        </w:rPr>
        <w:t>sipërfaqësor dhe i tërthortë në ek</w:t>
      </w:r>
      <w:r w:rsidRPr="00D0483F">
        <w:rPr>
          <w:rFonts w:ascii="Times New Roman" w:hAnsi="Times New Roman" w:cs="Times New Roman"/>
          <w:sz w:val="24"/>
          <w:szCs w:val="24"/>
        </w:rPr>
        <w:t xml:space="preserve">onomisë së Kosovës.  Ndër masat më me ndikim të konsiderueshëm mund të veçojmë: </w:t>
      </w:r>
    </w:p>
    <w:p w14:paraId="3696CB64" w14:textId="77777777" w:rsidR="00494035" w:rsidRPr="00D0483F" w:rsidRDefault="00494035" w:rsidP="00D0483F">
      <w:pPr>
        <w:pStyle w:val="ListParagraph"/>
        <w:numPr>
          <w:ilvl w:val="0"/>
          <w:numId w:val="37"/>
        </w:numPr>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Rritja e pragut që përcakton pozitën dominuese për ndërmarrje individuale nga 25% në 40%. </w:t>
      </w:r>
    </w:p>
    <w:p w14:paraId="52059637" w14:textId="77777777" w:rsidR="00494035" w:rsidRPr="00D0483F" w:rsidRDefault="00494035" w:rsidP="00D0483F">
      <w:pPr>
        <w:pStyle w:val="ListParagraph"/>
        <w:ind w:left="180"/>
        <w:jc w:val="both"/>
        <w:rPr>
          <w:rFonts w:ascii="Times New Roman" w:hAnsi="Times New Roman" w:cs="Times New Roman"/>
          <w:sz w:val="24"/>
          <w:szCs w:val="24"/>
        </w:rPr>
      </w:pPr>
    </w:p>
    <w:p w14:paraId="3B60A27C"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AKK në vitin 2017 ka publikuar raportin hulumtues në lidhje me strukturën e tregjeve në Republikën e Kosovës.  Ky hulumtim ka përfshirë rreth 13 tregje me rreth 25 sektor.  Sipas të </w:t>
      </w:r>
      <w:r w:rsidRPr="00D0483F">
        <w:rPr>
          <w:rFonts w:ascii="Times New Roman" w:hAnsi="Times New Roman" w:cs="Times New Roman"/>
          <w:sz w:val="24"/>
          <w:szCs w:val="24"/>
        </w:rPr>
        <w:lastRenderedPageBreak/>
        <w:t xml:space="preserve">dhënave të paraqitura në raport, mesatarisht 4.5% e kompanive mbajnë pozitë dominuese në tregjet ku veprojnë.  Këtu përfshihen edhe monopolet natyrore siç janë: transmisioni, furnizimi dhe shpërndarja, si dhe sektorët e furnizimit me ujë të pijshëm. </w:t>
      </w:r>
    </w:p>
    <w:p w14:paraId="0546351C" w14:textId="77777777" w:rsidR="00494035" w:rsidRPr="00D0483F" w:rsidRDefault="00494035" w:rsidP="00D0483F">
      <w:pPr>
        <w:pStyle w:val="ListParagraph"/>
        <w:ind w:left="180"/>
        <w:jc w:val="both"/>
        <w:rPr>
          <w:rFonts w:ascii="Times New Roman" w:hAnsi="Times New Roman" w:cs="Times New Roman"/>
          <w:sz w:val="24"/>
          <w:szCs w:val="24"/>
        </w:rPr>
      </w:pPr>
    </w:p>
    <w:p w14:paraId="71702047"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Sipas opsionit për përmirësimin e zbatimit dhe ekzekutimit, pragu për përcaktimin e pozitës dominuese do të rritet nga 25% në 40%.  Si rezultat i këtij propozimi, rreth 1.5% e kompanive do të lirohen nga kërkesa për pozitë dominuese, derisa 3% duke përfshirë edhe monopolet natyrore do të jenë në pozitë dominuese sipas pragut të ri.  </w:t>
      </w:r>
    </w:p>
    <w:p w14:paraId="75932AF7" w14:textId="77777777" w:rsidR="00494035" w:rsidRPr="00D0483F" w:rsidRDefault="00494035" w:rsidP="00D0483F">
      <w:pPr>
        <w:pStyle w:val="ListParagraph"/>
        <w:ind w:left="180"/>
        <w:jc w:val="both"/>
        <w:rPr>
          <w:rFonts w:ascii="Times New Roman" w:hAnsi="Times New Roman" w:cs="Times New Roman"/>
          <w:sz w:val="24"/>
          <w:szCs w:val="24"/>
        </w:rPr>
      </w:pPr>
    </w:p>
    <w:p w14:paraId="29E44A94" w14:textId="3446B5BA"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Ndikimi i rritjes së pragut për përcaktimin e pozitës dominuese do të ketë ndikim neutral tek bizneset.  Kjo pasi qe edhe në opsionin për mos</w:t>
      </w:r>
      <w:r w:rsidR="006E7CD4">
        <w:rPr>
          <w:rFonts w:ascii="Times New Roman" w:hAnsi="Times New Roman" w:cs="Times New Roman"/>
          <w:sz w:val="24"/>
          <w:szCs w:val="24"/>
        </w:rPr>
        <w:t xml:space="preserve"> </w:t>
      </w:r>
      <w:r w:rsidRPr="00D0483F">
        <w:rPr>
          <w:rFonts w:ascii="Times New Roman" w:hAnsi="Times New Roman" w:cs="Times New Roman"/>
          <w:sz w:val="24"/>
          <w:szCs w:val="24"/>
        </w:rPr>
        <w:t>ndryshimin e gjithashtu edhe në opsionin për ndryshim të zbatimit dhe ekzekutimit, ndërmarrjet nuk përballen me ndonjë ngarkesë deri në momentin e inicimit të procedurës në bazë të konstatimeve të keqpërdorimit të pozitës dominuese.</w:t>
      </w:r>
    </w:p>
    <w:p w14:paraId="360DEB8E" w14:textId="77777777" w:rsidR="00494035" w:rsidRPr="00D0483F" w:rsidRDefault="00494035" w:rsidP="00D0483F">
      <w:pPr>
        <w:pStyle w:val="ListParagraph"/>
        <w:ind w:left="180"/>
        <w:jc w:val="both"/>
        <w:rPr>
          <w:rFonts w:ascii="Times New Roman" w:hAnsi="Times New Roman" w:cs="Times New Roman"/>
          <w:sz w:val="24"/>
          <w:szCs w:val="24"/>
        </w:rPr>
      </w:pPr>
    </w:p>
    <w:p w14:paraId="4F126D9E" w14:textId="17B65D57" w:rsidR="00494035" w:rsidRPr="00D0483F" w:rsidRDefault="00494035" w:rsidP="00D0483F">
      <w:pPr>
        <w:pStyle w:val="ListParagraph"/>
        <w:numPr>
          <w:ilvl w:val="0"/>
          <w:numId w:val="37"/>
        </w:numPr>
        <w:ind w:left="180"/>
        <w:jc w:val="both"/>
        <w:rPr>
          <w:rFonts w:ascii="Times New Roman" w:hAnsi="Times New Roman" w:cs="Times New Roman"/>
          <w:sz w:val="24"/>
          <w:szCs w:val="24"/>
        </w:rPr>
      </w:pPr>
      <w:r w:rsidRPr="00D0483F">
        <w:rPr>
          <w:rFonts w:ascii="Times New Roman" w:hAnsi="Times New Roman" w:cs="Times New Roman"/>
          <w:sz w:val="24"/>
          <w:szCs w:val="24"/>
        </w:rPr>
        <w:t>Dhënie e së drejtës për AKK që me vetë</w:t>
      </w:r>
      <w:r w:rsidR="006E7CD4">
        <w:rPr>
          <w:rFonts w:ascii="Times New Roman" w:hAnsi="Times New Roman" w:cs="Times New Roman"/>
          <w:sz w:val="24"/>
          <w:szCs w:val="24"/>
        </w:rPr>
        <w:t xml:space="preserve"> </w:t>
      </w:r>
      <w:r w:rsidRPr="00D0483F">
        <w:rPr>
          <w:rFonts w:ascii="Times New Roman" w:hAnsi="Times New Roman" w:cs="Times New Roman"/>
          <w:sz w:val="24"/>
          <w:szCs w:val="24"/>
        </w:rPr>
        <w:t xml:space="preserve">iniciative apo edhe me kërkesë të shqyrtojnë projektligjet apo projekt-aktet e tjera ligjore. </w:t>
      </w:r>
    </w:p>
    <w:p w14:paraId="110427BC" w14:textId="77777777" w:rsidR="00494035" w:rsidRPr="00D0483F" w:rsidRDefault="00494035" w:rsidP="00D0483F">
      <w:pPr>
        <w:pStyle w:val="ListParagraph"/>
        <w:ind w:left="180"/>
        <w:jc w:val="both"/>
        <w:rPr>
          <w:rFonts w:ascii="Times New Roman" w:hAnsi="Times New Roman" w:cs="Times New Roman"/>
          <w:sz w:val="24"/>
          <w:szCs w:val="24"/>
        </w:rPr>
      </w:pPr>
    </w:p>
    <w:p w14:paraId="1C87D912"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Sipas të dhënave të vitit 2017, Autoriteti Kosovar i Konkurrencës ka nxjerrë 5 mendime profesionale për rastet që bien ndesh me Ligjin për Mbrojtjen e Konkurrencës.  Mendime profesionale janë dhënë në bazë të kërkesave dhe iniciativave të subjekteve të ndryshme.  Sidoqoftë, kërkesat për mendime profesionale jo gjithherë kanë ardhur nga institucionet shtetërore të Kosovës, ndërsa AKK-ja sipas kornizës aktuale ligjore nuk pasur të drejtë të ndërmarrë veprime për krijimin e mendimit profesional. </w:t>
      </w:r>
    </w:p>
    <w:p w14:paraId="229F4C66" w14:textId="77777777" w:rsidR="00494035" w:rsidRPr="00D0483F" w:rsidRDefault="00494035" w:rsidP="00D0483F">
      <w:pPr>
        <w:pStyle w:val="ListParagraph"/>
        <w:ind w:left="180"/>
        <w:jc w:val="both"/>
        <w:rPr>
          <w:rFonts w:ascii="Times New Roman" w:hAnsi="Times New Roman" w:cs="Times New Roman"/>
          <w:sz w:val="24"/>
          <w:szCs w:val="24"/>
        </w:rPr>
      </w:pPr>
    </w:p>
    <w:p w14:paraId="5442BC1F"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Më tej, për shkak të kolizionit ndërmjet ligjeve të ndryshme ku parashihen edhe çështjet e konkurrencës, mendimet profesionale dhe pse nuk janë të obligueshme, qartë tregojnë se ka ndeshje me rregullat e zbatueshme të përcaktuara me ligjin për mbrojtjen e konkurrencës.  Si rrjedhim, gjendja e çështjeve që janë subjekt i mendimeve profesionale mbetet e pandryshuara, që vazhdon të mbetet pengesë e arritjes së qëllimeve të konkurrencës për tregje me rezultate më të mira siç është çmimi, kostoja, dhe shërbimeve dhe produkteve të afërta me konsumatorin. </w:t>
      </w:r>
    </w:p>
    <w:p w14:paraId="1F37CDA7" w14:textId="77777777" w:rsidR="00494035" w:rsidRPr="00D0483F" w:rsidRDefault="00494035" w:rsidP="00D0483F">
      <w:pPr>
        <w:pStyle w:val="ListParagraph"/>
        <w:ind w:left="180"/>
        <w:jc w:val="both"/>
        <w:rPr>
          <w:rFonts w:ascii="Times New Roman" w:hAnsi="Times New Roman" w:cs="Times New Roman"/>
          <w:sz w:val="24"/>
          <w:szCs w:val="24"/>
        </w:rPr>
      </w:pPr>
    </w:p>
    <w:p w14:paraId="3AD931B9"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Sipas opsioni për ndryshim të zbatimit dhe ekzekutimit, AKK-ja mund të ofrojë rekomandime në procesin e </w:t>
      </w:r>
      <w:proofErr w:type="spellStart"/>
      <w:r w:rsidRPr="00D0483F">
        <w:rPr>
          <w:rFonts w:ascii="Times New Roman" w:hAnsi="Times New Roman" w:cs="Times New Roman"/>
          <w:sz w:val="24"/>
          <w:szCs w:val="24"/>
        </w:rPr>
        <w:t>draftimit</w:t>
      </w:r>
      <w:proofErr w:type="spellEnd"/>
      <w:r w:rsidRPr="00D0483F">
        <w:rPr>
          <w:rFonts w:ascii="Times New Roman" w:hAnsi="Times New Roman" w:cs="Times New Roman"/>
          <w:sz w:val="24"/>
          <w:szCs w:val="24"/>
        </w:rPr>
        <w:t xml:space="preserve"> të ligjeve apo akteve tjera nënligjore. Këto rekomandime do të jepen në të gjitha rastet ku identifikohet se konkurrenca e lirë dhe efektive në treg është e cenuar.  </w:t>
      </w:r>
    </w:p>
    <w:p w14:paraId="39554692" w14:textId="77777777" w:rsidR="00494035" w:rsidRPr="00D0483F" w:rsidRDefault="00494035" w:rsidP="00D0483F">
      <w:pPr>
        <w:pStyle w:val="ListParagraph"/>
        <w:ind w:left="180"/>
        <w:jc w:val="both"/>
        <w:rPr>
          <w:rFonts w:ascii="Times New Roman" w:hAnsi="Times New Roman" w:cs="Times New Roman"/>
          <w:sz w:val="24"/>
          <w:szCs w:val="24"/>
        </w:rPr>
      </w:pPr>
      <w:r w:rsidRPr="00D0483F">
        <w:rPr>
          <w:rFonts w:ascii="Times New Roman" w:hAnsi="Times New Roman" w:cs="Times New Roman"/>
          <w:sz w:val="24"/>
          <w:szCs w:val="24"/>
        </w:rPr>
        <w:t xml:space="preserve">Ndikimi i kësaj do të jetë propozim-ligje të reja që përmbajnë frymën e tregut konkurrues i cili është i nevojshëm për zhvillim. </w:t>
      </w:r>
    </w:p>
    <w:p w14:paraId="17812A01" w14:textId="77777777" w:rsidR="00AE6725" w:rsidRPr="000D3717" w:rsidRDefault="00AE6725" w:rsidP="00695808">
      <w:pPr>
        <w:rPr>
          <w:rFonts w:ascii="Times New Roman" w:hAnsi="Times New Roman" w:cs="Times New Roman"/>
          <w:sz w:val="24"/>
          <w:szCs w:val="24"/>
        </w:rPr>
      </w:pPr>
    </w:p>
    <w:p w14:paraId="51352F78" w14:textId="1F94FA8C" w:rsidR="0094410D" w:rsidRPr="000D3717" w:rsidRDefault="0094410D" w:rsidP="00695808">
      <w:pPr>
        <w:rPr>
          <w:rFonts w:ascii="Times New Roman" w:hAnsi="Times New Roman" w:cs="Times New Roman"/>
          <w:sz w:val="24"/>
          <w:szCs w:val="24"/>
        </w:rPr>
      </w:pPr>
      <w:r w:rsidRPr="000D3717">
        <w:rPr>
          <w:rFonts w:ascii="Times New Roman" w:hAnsi="Times New Roman" w:cs="Times New Roman"/>
          <w:sz w:val="24"/>
          <w:szCs w:val="24"/>
        </w:rPr>
        <w:t>Vlerësimet e dhëna m</w:t>
      </w:r>
      <w:r w:rsidR="00C04C03">
        <w:rPr>
          <w:rFonts w:ascii="Times New Roman" w:hAnsi="Times New Roman" w:cs="Times New Roman"/>
          <w:sz w:val="24"/>
          <w:szCs w:val="24"/>
        </w:rPr>
        <w:t>ë</w:t>
      </w:r>
      <w:r w:rsidRPr="000D3717">
        <w:rPr>
          <w:rFonts w:ascii="Times New Roman" w:hAnsi="Times New Roman" w:cs="Times New Roman"/>
          <w:sz w:val="24"/>
          <w:szCs w:val="24"/>
        </w:rPr>
        <w:t xml:space="preserve"> poshtë vlejnë</w:t>
      </w:r>
      <w:r w:rsidR="00C17F8E">
        <w:rPr>
          <w:rFonts w:ascii="Times New Roman" w:hAnsi="Times New Roman" w:cs="Times New Roman"/>
          <w:sz w:val="24"/>
          <w:szCs w:val="24"/>
        </w:rPr>
        <w:t xml:space="preserve"> për </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gjitha opsionet e paraqitura</w:t>
      </w:r>
    </w:p>
    <w:p w14:paraId="006AF6E6" w14:textId="77777777" w:rsidR="008D7069" w:rsidRPr="000D3717" w:rsidRDefault="008D7069" w:rsidP="00695808">
      <w:pPr>
        <w:rPr>
          <w:rFonts w:ascii="Times New Roman" w:hAnsi="Times New Roman" w:cs="Times New Roman"/>
          <w:sz w:val="24"/>
          <w:szCs w:val="24"/>
        </w:rPr>
      </w:pPr>
      <w:r w:rsidRPr="000D3717">
        <w:rPr>
          <w:rFonts w:ascii="Times New Roman" w:hAnsi="Times New Roman" w:cs="Times New Roman"/>
          <w:sz w:val="24"/>
          <w:szCs w:val="24"/>
        </w:rPr>
        <w:t xml:space="preserve">Figure </w:t>
      </w:r>
      <w:r w:rsidR="0064305F" w:rsidRPr="000D3717">
        <w:rPr>
          <w:rFonts w:ascii="Times New Roman" w:hAnsi="Times New Roman" w:cs="Times New Roman"/>
          <w:sz w:val="24"/>
          <w:szCs w:val="24"/>
        </w:rPr>
        <w:fldChar w:fldCharType="begin"/>
      </w:r>
      <w:r w:rsidR="00180BB0" w:rsidRPr="000D3717">
        <w:rPr>
          <w:rFonts w:ascii="Times New Roman" w:hAnsi="Times New Roman" w:cs="Times New Roman"/>
          <w:sz w:val="24"/>
          <w:szCs w:val="24"/>
        </w:rPr>
        <w:instrText xml:space="preserve"> SEQ Figure \* ARABIC </w:instrText>
      </w:r>
      <w:r w:rsidR="0064305F" w:rsidRPr="000D3717">
        <w:rPr>
          <w:rFonts w:ascii="Times New Roman" w:hAnsi="Times New Roman" w:cs="Times New Roman"/>
          <w:sz w:val="24"/>
          <w:szCs w:val="24"/>
        </w:rPr>
        <w:fldChar w:fldCharType="separate"/>
      </w:r>
      <w:r w:rsidR="0095778A">
        <w:rPr>
          <w:rFonts w:ascii="Times New Roman" w:hAnsi="Times New Roman" w:cs="Times New Roman"/>
          <w:noProof/>
          <w:sz w:val="24"/>
          <w:szCs w:val="24"/>
        </w:rPr>
        <w:t>2</w:t>
      </w:r>
      <w:r w:rsidR="0064305F" w:rsidRPr="000D3717">
        <w:rPr>
          <w:rFonts w:ascii="Times New Roman" w:hAnsi="Times New Roman" w:cs="Times New Roman"/>
          <w:sz w:val="24"/>
          <w:szCs w:val="24"/>
        </w:rPr>
        <w:fldChar w:fldCharType="end"/>
      </w:r>
      <w:r w:rsidR="007964A5" w:rsidRPr="000D3717">
        <w:rPr>
          <w:rFonts w:ascii="Times New Roman" w:hAnsi="Times New Roman" w:cs="Times New Roman"/>
          <w:sz w:val="24"/>
          <w:szCs w:val="24"/>
        </w:rPr>
        <w:t xml:space="preserve">: </w:t>
      </w:r>
      <w:r w:rsidR="00A477AE" w:rsidRPr="000D3717">
        <w:rPr>
          <w:rFonts w:ascii="Times New Roman" w:hAnsi="Times New Roman" w:cs="Times New Roman"/>
          <w:sz w:val="24"/>
          <w:szCs w:val="24"/>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D7069" w:rsidRPr="000D3717" w14:paraId="21E00068" w14:textId="77777777" w:rsidTr="008D7069">
        <w:tc>
          <w:tcPr>
            <w:tcW w:w="2335" w:type="dxa"/>
          </w:tcPr>
          <w:p w14:paraId="228E830A" w14:textId="77777777" w:rsidR="008D7069" w:rsidRPr="000D3717" w:rsidRDefault="00A477AE" w:rsidP="00A477AE">
            <w:pPr>
              <w:rPr>
                <w:rFonts w:ascii="Times New Roman" w:hAnsi="Times New Roman" w:cs="Times New Roman"/>
                <w:b/>
                <w:sz w:val="24"/>
                <w:szCs w:val="24"/>
              </w:rPr>
            </w:pPr>
            <w:r w:rsidRPr="000D3717">
              <w:rPr>
                <w:rFonts w:ascii="Times New Roman" w:hAnsi="Times New Roman" w:cs="Times New Roman"/>
                <w:b/>
                <w:sz w:val="24"/>
                <w:szCs w:val="24"/>
              </w:rPr>
              <w:lastRenderedPageBreak/>
              <w:t>Kategoritë e ndikimeve</w:t>
            </w:r>
          </w:p>
        </w:tc>
        <w:tc>
          <w:tcPr>
            <w:tcW w:w="7015" w:type="dxa"/>
          </w:tcPr>
          <w:p w14:paraId="5045D3ED" w14:textId="77777777" w:rsidR="008D7069" w:rsidRPr="000D3717" w:rsidRDefault="00A477AE" w:rsidP="0075339D">
            <w:pPr>
              <w:rPr>
                <w:rFonts w:ascii="Times New Roman" w:hAnsi="Times New Roman" w:cs="Times New Roman"/>
                <w:b/>
                <w:sz w:val="24"/>
                <w:szCs w:val="24"/>
              </w:rPr>
            </w:pPr>
            <w:r w:rsidRPr="000D3717">
              <w:rPr>
                <w:rFonts w:ascii="Times New Roman" w:hAnsi="Times New Roman" w:cs="Times New Roman"/>
                <w:b/>
                <w:sz w:val="24"/>
                <w:szCs w:val="24"/>
              </w:rPr>
              <w:t>Ndikimet përkatëse të identifikuara</w:t>
            </w:r>
          </w:p>
        </w:tc>
      </w:tr>
      <w:tr w:rsidR="008D7069" w:rsidRPr="000D3717" w14:paraId="04D314F8" w14:textId="77777777" w:rsidTr="008D7069">
        <w:tc>
          <w:tcPr>
            <w:tcW w:w="2335" w:type="dxa"/>
          </w:tcPr>
          <w:p w14:paraId="297C54B9" w14:textId="77777777" w:rsidR="008D7069" w:rsidRPr="00053A6B" w:rsidRDefault="00EC61A2" w:rsidP="00A477AE">
            <w:pPr>
              <w:rPr>
                <w:rFonts w:ascii="Times New Roman" w:hAnsi="Times New Roman" w:cs="Times New Roman"/>
                <w:sz w:val="24"/>
                <w:szCs w:val="24"/>
              </w:rPr>
            </w:pPr>
            <w:r w:rsidRPr="00053A6B">
              <w:rPr>
                <w:rFonts w:ascii="Times New Roman" w:hAnsi="Times New Roman" w:cs="Times New Roman"/>
                <w:sz w:val="24"/>
                <w:szCs w:val="24"/>
              </w:rPr>
              <w:t>Ndikimet ekonomike</w:t>
            </w:r>
          </w:p>
        </w:tc>
        <w:tc>
          <w:tcPr>
            <w:tcW w:w="7015" w:type="dxa"/>
          </w:tcPr>
          <w:p w14:paraId="21CB06DD" w14:textId="291E03A2" w:rsidR="008D7069" w:rsidRPr="00053A6B" w:rsidRDefault="00053A6B" w:rsidP="0075339D">
            <w:pPr>
              <w:rPr>
                <w:rFonts w:ascii="Times New Roman" w:hAnsi="Times New Roman" w:cs="Times New Roman"/>
                <w:sz w:val="24"/>
                <w:szCs w:val="24"/>
              </w:rPr>
            </w:pPr>
            <w:r>
              <w:rPr>
                <w:rFonts w:ascii="Times New Roman" w:hAnsi="Times New Roman" w:cs="Times New Roman"/>
                <w:sz w:val="24"/>
                <w:szCs w:val="24"/>
              </w:rPr>
              <w:t>N</w:t>
            </w:r>
            <w:r w:rsidRPr="000D3717">
              <w:rPr>
                <w:rFonts w:ascii="Times New Roman" w:hAnsi="Times New Roman" w:cs="Times New Roman"/>
                <w:sz w:val="24"/>
                <w:szCs w:val="24"/>
              </w:rPr>
              <w:t>uk do të ketë ndikim të drejtpërdrejte në ekonomi</w:t>
            </w:r>
            <w:r>
              <w:rPr>
                <w:rFonts w:ascii="Times New Roman" w:hAnsi="Times New Roman" w:cs="Times New Roman"/>
                <w:sz w:val="24"/>
                <w:szCs w:val="24"/>
              </w:rPr>
              <w:t>.</w:t>
            </w:r>
          </w:p>
        </w:tc>
      </w:tr>
      <w:tr w:rsidR="008D7069" w:rsidRPr="000D3717" w14:paraId="5D323BCA" w14:textId="77777777" w:rsidTr="008D7069">
        <w:tc>
          <w:tcPr>
            <w:tcW w:w="2335" w:type="dxa"/>
          </w:tcPr>
          <w:p w14:paraId="30D828EA" w14:textId="77777777" w:rsidR="008D7069" w:rsidRPr="00053A6B" w:rsidRDefault="00162D8C" w:rsidP="00EC61A2">
            <w:pPr>
              <w:rPr>
                <w:rFonts w:ascii="Times New Roman" w:hAnsi="Times New Roman" w:cs="Times New Roman"/>
                <w:sz w:val="24"/>
                <w:szCs w:val="24"/>
              </w:rPr>
            </w:pPr>
            <w:r w:rsidRPr="00053A6B">
              <w:rPr>
                <w:rFonts w:ascii="Times New Roman" w:hAnsi="Times New Roman" w:cs="Times New Roman"/>
                <w:sz w:val="24"/>
                <w:szCs w:val="24"/>
              </w:rPr>
              <w:t>Ndikim</w:t>
            </w:r>
            <w:r w:rsidR="00EC61A2" w:rsidRPr="00053A6B">
              <w:rPr>
                <w:rFonts w:ascii="Times New Roman" w:hAnsi="Times New Roman" w:cs="Times New Roman"/>
                <w:sz w:val="24"/>
                <w:szCs w:val="24"/>
              </w:rPr>
              <w:t xml:space="preserve">et </w:t>
            </w:r>
            <w:r w:rsidRPr="00053A6B">
              <w:rPr>
                <w:rFonts w:ascii="Times New Roman" w:hAnsi="Times New Roman" w:cs="Times New Roman"/>
                <w:sz w:val="24"/>
                <w:szCs w:val="24"/>
              </w:rPr>
              <w:t>shoqëror</w:t>
            </w:r>
            <w:r w:rsidR="00EC61A2" w:rsidRPr="00053A6B">
              <w:rPr>
                <w:rFonts w:ascii="Times New Roman" w:hAnsi="Times New Roman" w:cs="Times New Roman"/>
                <w:sz w:val="24"/>
                <w:szCs w:val="24"/>
              </w:rPr>
              <w:t>e</w:t>
            </w:r>
          </w:p>
        </w:tc>
        <w:tc>
          <w:tcPr>
            <w:tcW w:w="7015" w:type="dxa"/>
          </w:tcPr>
          <w:p w14:paraId="6FA66309" w14:textId="77777777" w:rsidR="008D7069" w:rsidRPr="00053A6B" w:rsidRDefault="0094410D" w:rsidP="0075339D">
            <w:pPr>
              <w:rPr>
                <w:rFonts w:ascii="Times New Roman" w:hAnsi="Times New Roman" w:cs="Times New Roman"/>
                <w:sz w:val="24"/>
                <w:szCs w:val="24"/>
              </w:rPr>
            </w:pPr>
            <w:r w:rsidRPr="00053A6B">
              <w:rPr>
                <w:rFonts w:ascii="Times New Roman" w:hAnsi="Times New Roman" w:cs="Times New Roman"/>
                <w:sz w:val="24"/>
                <w:szCs w:val="24"/>
              </w:rPr>
              <w:t>Nuk do t</w:t>
            </w:r>
            <w:r w:rsidR="006F11C5" w:rsidRPr="00053A6B">
              <w:rPr>
                <w:rFonts w:ascii="Times New Roman" w:hAnsi="Times New Roman" w:cs="Times New Roman"/>
                <w:sz w:val="24"/>
                <w:szCs w:val="24"/>
              </w:rPr>
              <w:t>ë</w:t>
            </w:r>
            <w:r w:rsidRPr="00053A6B">
              <w:rPr>
                <w:rFonts w:ascii="Times New Roman" w:hAnsi="Times New Roman" w:cs="Times New Roman"/>
                <w:sz w:val="24"/>
                <w:szCs w:val="24"/>
              </w:rPr>
              <w:t xml:space="preserve"> ketë ndikime t</w:t>
            </w:r>
            <w:r w:rsidR="00E31C3E" w:rsidRPr="00053A6B">
              <w:rPr>
                <w:rFonts w:ascii="Times New Roman" w:hAnsi="Times New Roman" w:cs="Times New Roman"/>
                <w:sz w:val="24"/>
                <w:szCs w:val="24"/>
              </w:rPr>
              <w:t>ë</w:t>
            </w:r>
            <w:r w:rsidRPr="00053A6B">
              <w:rPr>
                <w:rFonts w:ascii="Times New Roman" w:hAnsi="Times New Roman" w:cs="Times New Roman"/>
                <w:sz w:val="24"/>
                <w:szCs w:val="24"/>
              </w:rPr>
              <w:t xml:space="preserve"> drejtpërdrejta ne shoqëri.</w:t>
            </w:r>
          </w:p>
        </w:tc>
      </w:tr>
      <w:tr w:rsidR="008D7069" w:rsidRPr="000D3717" w14:paraId="56C2480A" w14:textId="77777777" w:rsidTr="008D7069">
        <w:tc>
          <w:tcPr>
            <w:tcW w:w="2335" w:type="dxa"/>
          </w:tcPr>
          <w:p w14:paraId="6B2CA765" w14:textId="77777777" w:rsidR="008D7069" w:rsidRPr="000D3717" w:rsidRDefault="00162D8C" w:rsidP="00EC61A2">
            <w:pPr>
              <w:rPr>
                <w:rFonts w:ascii="Times New Roman" w:hAnsi="Times New Roman" w:cs="Times New Roman"/>
                <w:sz w:val="24"/>
                <w:szCs w:val="24"/>
              </w:rPr>
            </w:pPr>
            <w:r w:rsidRPr="000D3717">
              <w:rPr>
                <w:rFonts w:ascii="Times New Roman" w:hAnsi="Times New Roman" w:cs="Times New Roman"/>
                <w:sz w:val="24"/>
                <w:szCs w:val="24"/>
              </w:rPr>
              <w:t>Ndikim</w:t>
            </w:r>
            <w:r w:rsidR="00EC61A2" w:rsidRPr="000D3717">
              <w:rPr>
                <w:rFonts w:ascii="Times New Roman" w:hAnsi="Times New Roman" w:cs="Times New Roman"/>
                <w:sz w:val="24"/>
                <w:szCs w:val="24"/>
              </w:rPr>
              <w:t>et</w:t>
            </w:r>
            <w:r w:rsidRPr="000D3717">
              <w:rPr>
                <w:rFonts w:ascii="Times New Roman" w:hAnsi="Times New Roman" w:cs="Times New Roman"/>
                <w:sz w:val="24"/>
                <w:szCs w:val="24"/>
              </w:rPr>
              <w:t xml:space="preserve"> mjedisor</w:t>
            </w:r>
            <w:r w:rsidR="00EC61A2" w:rsidRPr="000D3717">
              <w:rPr>
                <w:rFonts w:ascii="Times New Roman" w:hAnsi="Times New Roman" w:cs="Times New Roman"/>
                <w:sz w:val="24"/>
                <w:szCs w:val="24"/>
              </w:rPr>
              <w:t>e</w:t>
            </w:r>
          </w:p>
        </w:tc>
        <w:tc>
          <w:tcPr>
            <w:tcW w:w="7015" w:type="dxa"/>
          </w:tcPr>
          <w:p w14:paraId="2B1EC6ED" w14:textId="77777777" w:rsidR="008D7069"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n</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mjedis.</w:t>
            </w:r>
          </w:p>
        </w:tc>
      </w:tr>
      <w:tr w:rsidR="008D7069" w:rsidRPr="000D3717" w14:paraId="7E9BECD1" w14:textId="77777777" w:rsidTr="008D7069">
        <w:tc>
          <w:tcPr>
            <w:tcW w:w="2335" w:type="dxa"/>
          </w:tcPr>
          <w:p w14:paraId="76528E95" w14:textId="77777777" w:rsidR="008D7069" w:rsidRPr="000D3717" w:rsidRDefault="00A477AE" w:rsidP="00EC61A2">
            <w:pPr>
              <w:rPr>
                <w:rFonts w:ascii="Times New Roman" w:hAnsi="Times New Roman" w:cs="Times New Roman"/>
                <w:sz w:val="24"/>
                <w:szCs w:val="24"/>
              </w:rPr>
            </w:pPr>
            <w:r w:rsidRPr="000D3717">
              <w:rPr>
                <w:rFonts w:ascii="Times New Roman" w:hAnsi="Times New Roman" w:cs="Times New Roman"/>
                <w:sz w:val="24"/>
                <w:szCs w:val="24"/>
              </w:rPr>
              <w:t>Ndikim</w:t>
            </w:r>
            <w:r w:rsidR="00EC61A2" w:rsidRPr="000D3717">
              <w:rPr>
                <w:rFonts w:ascii="Times New Roman" w:hAnsi="Times New Roman" w:cs="Times New Roman"/>
                <w:sz w:val="24"/>
                <w:szCs w:val="24"/>
              </w:rPr>
              <w:t>et në</w:t>
            </w:r>
            <w:r w:rsidRPr="000D3717">
              <w:rPr>
                <w:rFonts w:ascii="Times New Roman" w:hAnsi="Times New Roman" w:cs="Times New Roman"/>
                <w:sz w:val="24"/>
                <w:szCs w:val="24"/>
              </w:rPr>
              <w:t xml:space="preserve"> të drejta</w:t>
            </w:r>
            <w:r w:rsidR="00EC61A2" w:rsidRPr="000D3717">
              <w:rPr>
                <w:rFonts w:ascii="Times New Roman" w:hAnsi="Times New Roman" w:cs="Times New Roman"/>
                <w:sz w:val="24"/>
                <w:szCs w:val="24"/>
              </w:rPr>
              <w:t>t</w:t>
            </w:r>
            <w:r w:rsidRPr="000D3717">
              <w:rPr>
                <w:rFonts w:ascii="Times New Roman" w:hAnsi="Times New Roman" w:cs="Times New Roman"/>
                <w:sz w:val="24"/>
                <w:szCs w:val="24"/>
              </w:rPr>
              <w:t xml:space="preserve"> themelore</w:t>
            </w:r>
          </w:p>
        </w:tc>
        <w:tc>
          <w:tcPr>
            <w:tcW w:w="7015" w:type="dxa"/>
          </w:tcPr>
          <w:p w14:paraId="5834D9FF" w14:textId="77777777" w:rsidR="008D7069"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n</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drejtat themelore.</w:t>
            </w:r>
          </w:p>
        </w:tc>
      </w:tr>
      <w:tr w:rsidR="008D7069" w:rsidRPr="000D3717" w14:paraId="3944BADB" w14:textId="77777777" w:rsidTr="008D7069">
        <w:tc>
          <w:tcPr>
            <w:tcW w:w="2335" w:type="dxa"/>
          </w:tcPr>
          <w:p w14:paraId="3ED8FE52" w14:textId="77777777" w:rsidR="008D7069" w:rsidRPr="000D3717" w:rsidRDefault="00A477AE" w:rsidP="00A477AE">
            <w:pPr>
              <w:rPr>
                <w:rFonts w:ascii="Times New Roman" w:hAnsi="Times New Roman" w:cs="Times New Roman"/>
                <w:sz w:val="24"/>
                <w:szCs w:val="24"/>
              </w:rPr>
            </w:pPr>
            <w:r w:rsidRPr="000D3717">
              <w:rPr>
                <w:rFonts w:ascii="Times New Roman" w:hAnsi="Times New Roman" w:cs="Times New Roman"/>
                <w:sz w:val="24"/>
                <w:szCs w:val="24"/>
              </w:rPr>
              <w:t>Ndikimi gjinor</w:t>
            </w:r>
            <w:r w:rsidR="008D7069" w:rsidRPr="000D3717">
              <w:rPr>
                <w:rFonts w:ascii="Times New Roman" w:hAnsi="Times New Roman" w:cs="Times New Roman"/>
                <w:sz w:val="24"/>
                <w:szCs w:val="24"/>
              </w:rPr>
              <w:t xml:space="preserve"> </w:t>
            </w:r>
          </w:p>
        </w:tc>
        <w:tc>
          <w:tcPr>
            <w:tcW w:w="7015" w:type="dxa"/>
          </w:tcPr>
          <w:p w14:paraId="25A154F3" w14:textId="77777777" w:rsidR="008D7069"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gjinore.</w:t>
            </w:r>
          </w:p>
        </w:tc>
      </w:tr>
      <w:tr w:rsidR="00D506EC" w:rsidRPr="000D3717" w14:paraId="41D3204C" w14:textId="77777777" w:rsidTr="008D7069">
        <w:tc>
          <w:tcPr>
            <w:tcW w:w="2335" w:type="dxa"/>
          </w:tcPr>
          <w:p w14:paraId="1CC12F77" w14:textId="77777777" w:rsidR="00D506EC" w:rsidRPr="000D3717" w:rsidRDefault="00522105" w:rsidP="00C6377B">
            <w:pPr>
              <w:rPr>
                <w:rFonts w:ascii="Times New Roman" w:hAnsi="Times New Roman" w:cs="Times New Roman"/>
                <w:sz w:val="24"/>
                <w:szCs w:val="24"/>
              </w:rPr>
            </w:pPr>
            <w:r w:rsidRPr="000D3717">
              <w:rPr>
                <w:rFonts w:ascii="Times New Roman" w:hAnsi="Times New Roman" w:cs="Times New Roman"/>
                <w:sz w:val="24"/>
                <w:szCs w:val="24"/>
              </w:rPr>
              <w:t>Ndikim</w:t>
            </w:r>
            <w:r w:rsidR="00EC61A2" w:rsidRPr="000D3717">
              <w:rPr>
                <w:rFonts w:ascii="Times New Roman" w:hAnsi="Times New Roman" w:cs="Times New Roman"/>
                <w:sz w:val="24"/>
                <w:szCs w:val="24"/>
              </w:rPr>
              <w:t xml:space="preserve">et </w:t>
            </w:r>
            <w:r w:rsidR="00C6377B" w:rsidRPr="000D3717">
              <w:rPr>
                <w:rFonts w:ascii="Times New Roman" w:hAnsi="Times New Roman" w:cs="Times New Roman"/>
                <w:sz w:val="24"/>
                <w:szCs w:val="24"/>
              </w:rPr>
              <w:t>e</w:t>
            </w:r>
            <w:r w:rsidRPr="000D3717">
              <w:rPr>
                <w:rFonts w:ascii="Times New Roman" w:hAnsi="Times New Roman" w:cs="Times New Roman"/>
                <w:sz w:val="24"/>
                <w:szCs w:val="24"/>
              </w:rPr>
              <w:t xml:space="preserve"> barazisë </w:t>
            </w:r>
            <w:r w:rsidR="00EC61A2" w:rsidRPr="000D3717">
              <w:rPr>
                <w:rFonts w:ascii="Times New Roman" w:hAnsi="Times New Roman" w:cs="Times New Roman"/>
                <w:sz w:val="24"/>
                <w:szCs w:val="24"/>
              </w:rPr>
              <w:t>sociale</w:t>
            </w:r>
          </w:p>
        </w:tc>
        <w:tc>
          <w:tcPr>
            <w:tcW w:w="7015" w:type="dxa"/>
          </w:tcPr>
          <w:p w14:paraId="3A469BC8" w14:textId="77777777" w:rsidR="00D506EC"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n</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barazinë sociale.</w:t>
            </w:r>
          </w:p>
        </w:tc>
      </w:tr>
      <w:tr w:rsidR="00D506EC" w:rsidRPr="000D3717" w14:paraId="6C6017D5" w14:textId="77777777" w:rsidTr="008D7069">
        <w:tc>
          <w:tcPr>
            <w:tcW w:w="2335" w:type="dxa"/>
          </w:tcPr>
          <w:p w14:paraId="5B8AD8E0" w14:textId="77777777" w:rsidR="00D506EC" w:rsidRPr="000D3717" w:rsidRDefault="00A477AE" w:rsidP="00C6377B">
            <w:pPr>
              <w:rPr>
                <w:rFonts w:ascii="Times New Roman" w:hAnsi="Times New Roman" w:cs="Times New Roman"/>
                <w:sz w:val="24"/>
                <w:szCs w:val="24"/>
              </w:rPr>
            </w:pPr>
            <w:r w:rsidRPr="000D3717">
              <w:rPr>
                <w:rFonts w:ascii="Times New Roman" w:hAnsi="Times New Roman" w:cs="Times New Roman"/>
                <w:sz w:val="24"/>
                <w:szCs w:val="24"/>
              </w:rPr>
              <w:t>Ndikim</w:t>
            </w:r>
            <w:r w:rsidR="00C6377B" w:rsidRPr="000D3717">
              <w:rPr>
                <w:rFonts w:ascii="Times New Roman" w:hAnsi="Times New Roman" w:cs="Times New Roman"/>
                <w:sz w:val="24"/>
                <w:szCs w:val="24"/>
              </w:rPr>
              <w:t>et tek</w:t>
            </w:r>
            <w:r w:rsidRPr="000D3717">
              <w:rPr>
                <w:rFonts w:ascii="Times New Roman" w:hAnsi="Times New Roman" w:cs="Times New Roman"/>
                <w:sz w:val="24"/>
                <w:szCs w:val="24"/>
              </w:rPr>
              <w:t xml:space="preserve"> të rinjtë</w:t>
            </w:r>
          </w:p>
        </w:tc>
        <w:tc>
          <w:tcPr>
            <w:tcW w:w="7015" w:type="dxa"/>
          </w:tcPr>
          <w:p w14:paraId="78AEFE56" w14:textId="77777777" w:rsidR="00D506EC"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tek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rinjtë. </w:t>
            </w:r>
          </w:p>
        </w:tc>
      </w:tr>
      <w:tr w:rsidR="008D7069" w:rsidRPr="000D3717" w14:paraId="0E5A5B0D" w14:textId="77777777" w:rsidTr="008D7069">
        <w:tc>
          <w:tcPr>
            <w:tcW w:w="2335" w:type="dxa"/>
          </w:tcPr>
          <w:p w14:paraId="3D7F4A7A" w14:textId="77777777" w:rsidR="008D7069" w:rsidRPr="000D3717" w:rsidRDefault="00A477AE" w:rsidP="00674773">
            <w:pPr>
              <w:rPr>
                <w:rFonts w:ascii="Times New Roman" w:hAnsi="Times New Roman" w:cs="Times New Roman"/>
                <w:sz w:val="24"/>
                <w:szCs w:val="24"/>
              </w:rPr>
            </w:pPr>
            <w:r w:rsidRPr="000D3717">
              <w:rPr>
                <w:rFonts w:ascii="Times New Roman" w:hAnsi="Times New Roman" w:cs="Times New Roman"/>
                <w:sz w:val="24"/>
                <w:szCs w:val="24"/>
              </w:rPr>
              <w:t>Ndikim</w:t>
            </w:r>
            <w:r w:rsidR="00C6377B" w:rsidRPr="000D3717">
              <w:rPr>
                <w:rFonts w:ascii="Times New Roman" w:hAnsi="Times New Roman" w:cs="Times New Roman"/>
                <w:sz w:val="24"/>
                <w:szCs w:val="24"/>
              </w:rPr>
              <w:t>et</w:t>
            </w:r>
            <w:r w:rsidRPr="000D3717">
              <w:rPr>
                <w:rFonts w:ascii="Times New Roman" w:hAnsi="Times New Roman" w:cs="Times New Roman"/>
                <w:sz w:val="24"/>
                <w:szCs w:val="24"/>
              </w:rPr>
              <w:t xml:space="preserve"> </w:t>
            </w:r>
            <w:r w:rsidR="00C6377B" w:rsidRPr="000D3717">
              <w:rPr>
                <w:rFonts w:ascii="Times New Roman" w:hAnsi="Times New Roman" w:cs="Times New Roman"/>
                <w:sz w:val="24"/>
                <w:szCs w:val="24"/>
              </w:rPr>
              <w:t xml:space="preserve">në </w:t>
            </w:r>
            <w:r w:rsidR="00674773" w:rsidRPr="000D3717">
              <w:rPr>
                <w:rFonts w:ascii="Times New Roman" w:hAnsi="Times New Roman" w:cs="Times New Roman"/>
                <w:sz w:val="24"/>
                <w:szCs w:val="24"/>
              </w:rPr>
              <w:t xml:space="preserve">ngarkesën </w:t>
            </w:r>
            <w:r w:rsidRPr="000D3717">
              <w:rPr>
                <w:rFonts w:ascii="Times New Roman" w:hAnsi="Times New Roman" w:cs="Times New Roman"/>
                <w:sz w:val="24"/>
                <w:szCs w:val="24"/>
              </w:rPr>
              <w:t>administrative</w:t>
            </w:r>
          </w:p>
        </w:tc>
        <w:tc>
          <w:tcPr>
            <w:tcW w:w="7015" w:type="dxa"/>
          </w:tcPr>
          <w:p w14:paraId="57590D26" w14:textId="77777777" w:rsidR="008D7069" w:rsidRPr="000D3717" w:rsidRDefault="0094410D"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ketë ndikime në ngarkesën administrative.</w:t>
            </w:r>
          </w:p>
        </w:tc>
      </w:tr>
      <w:tr w:rsidR="008D7069" w:rsidRPr="000D3717" w14:paraId="4DB22773" w14:textId="77777777" w:rsidTr="008D7069">
        <w:tc>
          <w:tcPr>
            <w:tcW w:w="2335" w:type="dxa"/>
          </w:tcPr>
          <w:p w14:paraId="3B63B8F2" w14:textId="77777777" w:rsidR="008D7069" w:rsidRPr="00053A6B" w:rsidRDefault="00A477AE" w:rsidP="00A477AE">
            <w:pPr>
              <w:rPr>
                <w:rFonts w:ascii="Times New Roman" w:hAnsi="Times New Roman" w:cs="Times New Roman"/>
                <w:sz w:val="24"/>
                <w:szCs w:val="24"/>
              </w:rPr>
            </w:pPr>
            <w:r w:rsidRPr="00053A6B">
              <w:rPr>
                <w:rFonts w:ascii="Times New Roman" w:hAnsi="Times New Roman" w:cs="Times New Roman"/>
                <w:sz w:val="24"/>
                <w:szCs w:val="24"/>
              </w:rPr>
              <w:t>Ndikimi i NMV-ve</w:t>
            </w:r>
          </w:p>
        </w:tc>
        <w:tc>
          <w:tcPr>
            <w:tcW w:w="7015" w:type="dxa"/>
          </w:tcPr>
          <w:p w14:paraId="7BBAF0BB" w14:textId="315C867B" w:rsidR="008D7069" w:rsidRPr="00053A6B" w:rsidRDefault="0094410D" w:rsidP="00053A6B">
            <w:pPr>
              <w:rPr>
                <w:rFonts w:ascii="Times New Roman" w:hAnsi="Times New Roman" w:cs="Times New Roman"/>
                <w:sz w:val="24"/>
                <w:szCs w:val="24"/>
              </w:rPr>
            </w:pPr>
            <w:r w:rsidRPr="00053A6B">
              <w:rPr>
                <w:rFonts w:ascii="Times New Roman" w:hAnsi="Times New Roman" w:cs="Times New Roman"/>
                <w:sz w:val="24"/>
                <w:szCs w:val="24"/>
              </w:rPr>
              <w:t>Nuk do t</w:t>
            </w:r>
            <w:r w:rsidR="00E31C3E" w:rsidRPr="00053A6B">
              <w:rPr>
                <w:rFonts w:ascii="Times New Roman" w:hAnsi="Times New Roman" w:cs="Times New Roman"/>
                <w:sz w:val="24"/>
                <w:szCs w:val="24"/>
              </w:rPr>
              <w:t>ë</w:t>
            </w:r>
            <w:r w:rsidRPr="00053A6B">
              <w:rPr>
                <w:rFonts w:ascii="Times New Roman" w:hAnsi="Times New Roman" w:cs="Times New Roman"/>
                <w:sz w:val="24"/>
                <w:szCs w:val="24"/>
              </w:rPr>
              <w:t xml:space="preserve"> ketë ndikime </w:t>
            </w:r>
            <w:r w:rsidR="00053A6B" w:rsidRPr="00053A6B">
              <w:rPr>
                <w:rFonts w:ascii="Times New Roman" w:hAnsi="Times New Roman" w:cs="Times New Roman"/>
                <w:sz w:val="24"/>
                <w:szCs w:val="24"/>
              </w:rPr>
              <w:t xml:space="preserve">të drejtpërdrejta </w:t>
            </w:r>
            <w:r w:rsidR="00053A6B">
              <w:rPr>
                <w:rFonts w:ascii="Times New Roman" w:hAnsi="Times New Roman" w:cs="Times New Roman"/>
                <w:sz w:val="24"/>
                <w:szCs w:val="24"/>
              </w:rPr>
              <w:t>tek</w:t>
            </w:r>
            <w:r w:rsidR="00341D3A">
              <w:rPr>
                <w:rFonts w:ascii="Times New Roman" w:hAnsi="Times New Roman" w:cs="Times New Roman"/>
                <w:sz w:val="24"/>
                <w:szCs w:val="24"/>
              </w:rPr>
              <w:t xml:space="preserve"> </w:t>
            </w:r>
            <w:r w:rsidRPr="00053A6B">
              <w:rPr>
                <w:rFonts w:ascii="Times New Roman" w:hAnsi="Times New Roman" w:cs="Times New Roman"/>
                <w:sz w:val="24"/>
                <w:szCs w:val="24"/>
              </w:rPr>
              <w:t>NVM-t</w:t>
            </w:r>
            <w:r w:rsidR="00341D3A" w:rsidRPr="000D3717">
              <w:rPr>
                <w:rFonts w:ascii="Times New Roman" w:hAnsi="Times New Roman" w:cs="Times New Roman"/>
                <w:sz w:val="24"/>
                <w:szCs w:val="24"/>
              </w:rPr>
              <w:t>ë</w:t>
            </w:r>
            <w:r w:rsidRPr="00053A6B">
              <w:rPr>
                <w:rFonts w:ascii="Times New Roman" w:hAnsi="Times New Roman" w:cs="Times New Roman"/>
                <w:sz w:val="24"/>
                <w:szCs w:val="24"/>
              </w:rPr>
              <w:t xml:space="preserve">. </w:t>
            </w:r>
          </w:p>
        </w:tc>
      </w:tr>
    </w:tbl>
    <w:p w14:paraId="46A047CF" w14:textId="77777777" w:rsidR="009E1A07" w:rsidRPr="000D3717" w:rsidRDefault="009E1A07" w:rsidP="0075339D">
      <w:pPr>
        <w:rPr>
          <w:rFonts w:ascii="Times New Roman" w:hAnsi="Times New Roman" w:cs="Times New Roman"/>
          <w:sz w:val="24"/>
          <w:szCs w:val="24"/>
        </w:rPr>
      </w:pPr>
    </w:p>
    <w:p w14:paraId="0DEFB2A9" w14:textId="77777777" w:rsidR="00856C25" w:rsidRPr="000D3717" w:rsidRDefault="00797F2B" w:rsidP="00695808">
      <w:pPr>
        <w:jc w:val="both"/>
        <w:rPr>
          <w:rFonts w:ascii="Times New Roman" w:hAnsi="Times New Roman" w:cs="Times New Roman"/>
          <w:sz w:val="24"/>
          <w:szCs w:val="24"/>
        </w:rPr>
      </w:pPr>
      <w:r w:rsidRPr="000D3717">
        <w:rPr>
          <w:rFonts w:ascii="Times New Roman" w:hAnsi="Times New Roman" w:cs="Times New Roman"/>
          <w:sz w:val="24"/>
          <w:szCs w:val="24"/>
        </w:rPr>
        <w:t>Opsioni i parë dhe opsioni i tret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nuk do të kenë ndikime pozitive në fushat e lartë caktuara. Përkundrazi, do të kenë ndikim negativ duke e renduar edhe me tej problemin e identifikuara në këtë koncept dokument. Në anën tjetër, opsioni i dyt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do të ketë ndikim të drejtpërdrejtë në përmirësimin e infrastrukturës ligjore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mbrojtës s</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konkurrencës duke e rritur efikasitetin e AKK</w:t>
      </w:r>
      <w:r w:rsidR="004A4335">
        <w:rPr>
          <w:rFonts w:ascii="Times New Roman" w:hAnsi="Times New Roman" w:cs="Times New Roman"/>
          <w:sz w:val="24"/>
          <w:szCs w:val="24"/>
        </w:rPr>
        <w:t>-së</w:t>
      </w:r>
      <w:r w:rsidRPr="000D3717">
        <w:rPr>
          <w:rFonts w:ascii="Times New Roman" w:hAnsi="Times New Roman" w:cs="Times New Roman"/>
          <w:sz w:val="24"/>
          <w:szCs w:val="24"/>
        </w:rPr>
        <w:t xml:space="preserve"> dhe rrjedhimisht duke ndikuar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mbrojtjen e tregut t</w:t>
      </w:r>
      <w:r w:rsidR="00E31C3E">
        <w:rPr>
          <w:rFonts w:ascii="Times New Roman" w:hAnsi="Times New Roman" w:cs="Times New Roman"/>
          <w:sz w:val="24"/>
          <w:szCs w:val="24"/>
        </w:rPr>
        <w:t>ë</w:t>
      </w:r>
      <w:r w:rsidRPr="000D3717">
        <w:rPr>
          <w:rFonts w:ascii="Times New Roman" w:hAnsi="Times New Roman" w:cs="Times New Roman"/>
          <w:sz w:val="24"/>
          <w:szCs w:val="24"/>
        </w:rPr>
        <w:t xml:space="preserve"> lir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dhe konkurrencës.</w:t>
      </w:r>
    </w:p>
    <w:p w14:paraId="3FA5A46F" w14:textId="77777777" w:rsidR="00FE4BCF" w:rsidRPr="000D3717" w:rsidRDefault="00A477AE" w:rsidP="00FE4BCF">
      <w:pPr>
        <w:pStyle w:val="Heading2"/>
        <w:rPr>
          <w:rFonts w:ascii="Times New Roman" w:hAnsi="Times New Roman" w:cs="Times New Roman"/>
          <w:sz w:val="24"/>
          <w:szCs w:val="24"/>
        </w:rPr>
      </w:pPr>
      <w:bookmarkStart w:id="15" w:name="_Toc532388160"/>
      <w:r w:rsidRPr="000D3717">
        <w:rPr>
          <w:rFonts w:ascii="Times New Roman" w:hAnsi="Times New Roman" w:cs="Times New Roman"/>
          <w:sz w:val="24"/>
          <w:szCs w:val="24"/>
        </w:rPr>
        <w:t>K</w:t>
      </w:r>
      <w:r w:rsidR="00FE4BCF" w:rsidRPr="000D3717">
        <w:rPr>
          <w:rFonts w:ascii="Times New Roman" w:hAnsi="Times New Roman" w:cs="Times New Roman"/>
          <w:sz w:val="24"/>
          <w:szCs w:val="24"/>
        </w:rPr>
        <w:t>ap</w:t>
      </w:r>
      <w:r w:rsidRPr="000D3717">
        <w:rPr>
          <w:rFonts w:ascii="Times New Roman" w:hAnsi="Times New Roman" w:cs="Times New Roman"/>
          <w:sz w:val="24"/>
          <w:szCs w:val="24"/>
        </w:rPr>
        <w:t>i</w:t>
      </w:r>
      <w:r w:rsidR="00FE4BCF" w:rsidRPr="000D3717">
        <w:rPr>
          <w:rFonts w:ascii="Times New Roman" w:hAnsi="Times New Roman" w:cs="Times New Roman"/>
          <w:sz w:val="24"/>
          <w:szCs w:val="24"/>
        </w:rPr>
        <w:t>t</w:t>
      </w:r>
      <w:r w:rsidRPr="000D3717">
        <w:rPr>
          <w:rFonts w:ascii="Times New Roman" w:hAnsi="Times New Roman" w:cs="Times New Roman"/>
          <w:sz w:val="24"/>
          <w:szCs w:val="24"/>
        </w:rPr>
        <w:t>ulli</w:t>
      </w:r>
      <w:r w:rsidR="00D06E5A" w:rsidRPr="000D3717">
        <w:rPr>
          <w:rFonts w:ascii="Times New Roman" w:hAnsi="Times New Roman" w:cs="Times New Roman"/>
          <w:sz w:val="24"/>
          <w:szCs w:val="24"/>
        </w:rPr>
        <w:t xml:space="preserve"> 4.</w:t>
      </w:r>
      <w:r w:rsidR="00856C25" w:rsidRPr="000D3717">
        <w:rPr>
          <w:rFonts w:ascii="Times New Roman" w:hAnsi="Times New Roman" w:cs="Times New Roman"/>
          <w:sz w:val="24"/>
          <w:szCs w:val="24"/>
        </w:rPr>
        <w:t>1</w:t>
      </w:r>
      <w:r w:rsidR="00FE4BCF" w:rsidRPr="000D3717">
        <w:rPr>
          <w:rFonts w:ascii="Times New Roman" w:hAnsi="Times New Roman" w:cs="Times New Roman"/>
          <w:sz w:val="24"/>
          <w:szCs w:val="24"/>
        </w:rPr>
        <w:t xml:space="preserve">: </w:t>
      </w:r>
      <w:r w:rsidR="00C6377B" w:rsidRPr="000D3717">
        <w:rPr>
          <w:rFonts w:ascii="Times New Roman" w:hAnsi="Times New Roman" w:cs="Times New Roman"/>
          <w:sz w:val="24"/>
          <w:szCs w:val="24"/>
        </w:rPr>
        <w:t>Sfidat me mbledhjen</w:t>
      </w:r>
      <w:r w:rsidRPr="000D3717">
        <w:rPr>
          <w:rFonts w:ascii="Times New Roman" w:hAnsi="Times New Roman" w:cs="Times New Roman"/>
          <w:sz w:val="24"/>
          <w:szCs w:val="24"/>
        </w:rPr>
        <w:t xml:space="preserve"> e të dhënave</w:t>
      </w:r>
      <w:bookmarkEnd w:id="15"/>
    </w:p>
    <w:p w14:paraId="50A20227" w14:textId="77777777" w:rsidR="003E1B87" w:rsidRPr="000D3717" w:rsidRDefault="003E1B87" w:rsidP="0075339D">
      <w:pPr>
        <w:rPr>
          <w:rFonts w:ascii="Times New Roman" w:hAnsi="Times New Roman" w:cs="Times New Roman"/>
          <w:sz w:val="24"/>
          <w:szCs w:val="24"/>
        </w:rPr>
      </w:pPr>
    </w:p>
    <w:p w14:paraId="7239651C" w14:textId="0EDCF4A3" w:rsidR="00F34E63" w:rsidRPr="000D3717" w:rsidRDefault="00F34E63" w:rsidP="00F34E63">
      <w:pPr>
        <w:jc w:val="both"/>
        <w:rPr>
          <w:rFonts w:ascii="Times New Roman" w:hAnsi="Times New Roman" w:cs="Times New Roman"/>
          <w:sz w:val="24"/>
          <w:szCs w:val="24"/>
        </w:rPr>
      </w:pPr>
      <w:r w:rsidRPr="000D3717">
        <w:rPr>
          <w:rFonts w:ascii="Times New Roman" w:hAnsi="Times New Roman" w:cs="Times New Roman"/>
          <w:sz w:val="24"/>
          <w:szCs w:val="24"/>
        </w:rPr>
        <w:t>Grupi Punues për hartimin e këtij Koncept Dokumenti ka pasur në përbërjen e tij përfaqësim të duhur për sigurimin e informatave të nevojshme për punën e këtij Koncept Dokumenti. Puna është udhëhequr nga Ministria e Tregtisë dhe Industrisë, e cili ka siguruar informatat e përgjithshme dhe të veçanta të nevojshme kryesisht përmes Divizionit për Koordinim</w:t>
      </w:r>
      <w:r w:rsidR="008753CB">
        <w:rPr>
          <w:rFonts w:ascii="Times New Roman" w:hAnsi="Times New Roman" w:cs="Times New Roman"/>
          <w:sz w:val="24"/>
          <w:szCs w:val="24"/>
        </w:rPr>
        <w:t xml:space="preserve"> të </w:t>
      </w:r>
      <w:r w:rsidRPr="000D3717">
        <w:rPr>
          <w:rFonts w:ascii="Times New Roman" w:hAnsi="Times New Roman" w:cs="Times New Roman"/>
          <w:sz w:val="24"/>
          <w:szCs w:val="24"/>
        </w:rPr>
        <w:t>Politikave dhe Departamentit Ligjor. Në anën tjetër, analizat specifike për Koncept Dokument janë siguruar nga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gjithë anëtaret e Grupit Punues. Po ashtu, edhe përfaqësuesit e Komunave të Kosovë dhe të pjesës tjetër të shoqërisë civile kanë kontribuar në të dhënat që janë bazuar në analizat e </w:t>
      </w:r>
      <w:r w:rsidR="00216513">
        <w:rPr>
          <w:rFonts w:ascii="Times New Roman" w:hAnsi="Times New Roman" w:cs="Times New Roman"/>
          <w:sz w:val="24"/>
          <w:szCs w:val="24"/>
        </w:rPr>
        <w:t>këtij KD.</w:t>
      </w:r>
      <w:r w:rsidRPr="000D3717">
        <w:rPr>
          <w:rFonts w:ascii="Times New Roman" w:hAnsi="Times New Roman" w:cs="Times New Roman"/>
          <w:sz w:val="24"/>
          <w:szCs w:val="24"/>
        </w:rPr>
        <w:t xml:space="preserve">. </w:t>
      </w:r>
    </w:p>
    <w:p w14:paraId="1EE8E64C" w14:textId="77777777" w:rsidR="00F34E63" w:rsidRPr="000D3717" w:rsidRDefault="00F34E63" w:rsidP="00F34E63">
      <w:pPr>
        <w:jc w:val="both"/>
        <w:rPr>
          <w:rFonts w:ascii="Times New Roman" w:hAnsi="Times New Roman" w:cs="Times New Roman"/>
          <w:sz w:val="24"/>
          <w:szCs w:val="24"/>
        </w:rPr>
      </w:pPr>
      <w:r w:rsidRPr="000D3717">
        <w:rPr>
          <w:rFonts w:ascii="Times New Roman" w:hAnsi="Times New Roman" w:cs="Times New Roman"/>
          <w:sz w:val="24"/>
          <w:szCs w:val="24"/>
        </w:rPr>
        <w:t>Andaj, mund të konfirmohet që nuk ka pasur probleme dhe sfida në mbledhjen e këtyre informatave.</w:t>
      </w:r>
    </w:p>
    <w:p w14:paraId="67D7C6A7" w14:textId="77777777" w:rsidR="0075339D" w:rsidRPr="000D3717" w:rsidRDefault="00180BB0" w:rsidP="00A61B6E">
      <w:pPr>
        <w:pStyle w:val="Heading1"/>
        <w:rPr>
          <w:rFonts w:ascii="Times New Roman" w:hAnsi="Times New Roman" w:cs="Times New Roman"/>
          <w:sz w:val="24"/>
          <w:szCs w:val="24"/>
        </w:rPr>
      </w:pPr>
      <w:bookmarkStart w:id="16" w:name="_Toc532388161"/>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5: </w:t>
      </w:r>
      <w:r w:rsidRPr="000D3717">
        <w:rPr>
          <w:rFonts w:ascii="Times New Roman" w:hAnsi="Times New Roman" w:cs="Times New Roman"/>
          <w:sz w:val="24"/>
          <w:szCs w:val="24"/>
        </w:rPr>
        <w:t>Komunikimi dhe konsultimi</w:t>
      </w:r>
      <w:bookmarkEnd w:id="16"/>
      <w:r w:rsidR="0075339D" w:rsidRPr="000D3717">
        <w:rPr>
          <w:rFonts w:ascii="Times New Roman" w:hAnsi="Times New Roman" w:cs="Times New Roman"/>
          <w:sz w:val="24"/>
          <w:szCs w:val="24"/>
        </w:rPr>
        <w:t xml:space="preserve"> </w:t>
      </w:r>
    </w:p>
    <w:p w14:paraId="5BECD4BA" w14:textId="77777777" w:rsidR="001C7171" w:rsidRPr="000D3717" w:rsidRDefault="001C7171" w:rsidP="00695808">
      <w:pPr>
        <w:rPr>
          <w:rFonts w:ascii="Times New Roman" w:hAnsi="Times New Roman" w:cs="Times New Roman"/>
          <w:sz w:val="24"/>
          <w:szCs w:val="24"/>
        </w:rPr>
      </w:pPr>
    </w:p>
    <w:p w14:paraId="27A9B82B" w14:textId="459FEA4F" w:rsidR="00F23DBF" w:rsidRPr="000D3717" w:rsidRDefault="00F23DBF" w:rsidP="000D3717">
      <w:pPr>
        <w:jc w:val="both"/>
        <w:rPr>
          <w:rFonts w:ascii="Times New Roman" w:hAnsi="Times New Roman" w:cs="Times New Roman"/>
          <w:sz w:val="24"/>
          <w:szCs w:val="24"/>
        </w:rPr>
      </w:pPr>
      <w:r w:rsidRPr="000D3717">
        <w:rPr>
          <w:rFonts w:ascii="Times New Roman" w:hAnsi="Times New Roman" w:cs="Times New Roman"/>
          <w:sz w:val="24"/>
          <w:szCs w:val="24"/>
        </w:rPr>
        <w:t>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fazën e komunikimit dhe konsultimit janë përfshirë disa pal</w:t>
      </w:r>
      <w:r w:rsidR="006004FB">
        <w:rPr>
          <w:rFonts w:ascii="Times New Roman" w:hAnsi="Times New Roman" w:cs="Times New Roman"/>
          <w:sz w:val="24"/>
          <w:szCs w:val="24"/>
        </w:rPr>
        <w:t>ë</w:t>
      </w:r>
      <w:r w:rsidRPr="000D3717">
        <w:rPr>
          <w:rFonts w:ascii="Times New Roman" w:hAnsi="Times New Roman" w:cs="Times New Roman"/>
          <w:sz w:val="24"/>
          <w:szCs w:val="24"/>
        </w:rPr>
        <w:t xml:space="preserv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interesuar q</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kan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përfshirë; ndërmarrësit, shoqatat e ndërmarrësve, shoqata e konsumatorit, odat ekonomike, organizata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ndryshme jo fitimprurëse, komunat, dhe institucione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tjera relevante. Komunikimi dhe konsultimi ka kaluar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dy faza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rëndësishme.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fazën e par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është organizuar takimi i par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w:t>
      </w:r>
      <w:r w:rsidRPr="000D3717">
        <w:rPr>
          <w:rFonts w:ascii="Times New Roman" w:hAnsi="Times New Roman" w:cs="Times New Roman"/>
          <w:sz w:val="24"/>
          <w:szCs w:val="24"/>
        </w:rPr>
        <w:lastRenderedPageBreak/>
        <w:t xml:space="preserve">publike ku janë ftuar </w:t>
      </w:r>
      <w:proofErr w:type="spellStart"/>
      <w:r w:rsidRPr="000D3717">
        <w:rPr>
          <w:rFonts w:ascii="Times New Roman" w:hAnsi="Times New Roman" w:cs="Times New Roman"/>
          <w:sz w:val="24"/>
          <w:szCs w:val="24"/>
        </w:rPr>
        <w:t>akteret</w:t>
      </w:r>
      <w:proofErr w:type="spellEnd"/>
      <w:r w:rsidRPr="000D3717">
        <w:rPr>
          <w:rFonts w:ascii="Times New Roman" w:hAnsi="Times New Roman" w:cs="Times New Roman"/>
          <w:sz w:val="24"/>
          <w:szCs w:val="24"/>
        </w:rPr>
        <w:t xml:space="preserv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ndryshëm nga palët e interesuara për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mare </w:t>
      </w:r>
      <w:proofErr w:type="spellStart"/>
      <w:r w:rsidRPr="000D3717">
        <w:rPr>
          <w:rFonts w:ascii="Times New Roman" w:hAnsi="Times New Roman" w:cs="Times New Roman"/>
          <w:sz w:val="24"/>
          <w:szCs w:val="24"/>
        </w:rPr>
        <w:t>inputet</w:t>
      </w:r>
      <w:proofErr w:type="spellEnd"/>
      <w:r w:rsidRPr="000D3717">
        <w:rPr>
          <w:rFonts w:ascii="Times New Roman" w:hAnsi="Times New Roman" w:cs="Times New Roman"/>
          <w:sz w:val="24"/>
          <w:szCs w:val="24"/>
        </w:rPr>
        <w:t xml:space="preserve"> e para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cilat na kan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ndihmuar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w:t>
      </w:r>
      <w:r w:rsidR="006E7CD4" w:rsidRPr="000D3717">
        <w:rPr>
          <w:rFonts w:ascii="Times New Roman" w:hAnsi="Times New Roman" w:cs="Times New Roman"/>
          <w:sz w:val="24"/>
          <w:szCs w:val="24"/>
        </w:rPr>
        <w:t>përpilimin</w:t>
      </w:r>
      <w:r w:rsidRPr="000D3717">
        <w:rPr>
          <w:rFonts w:ascii="Times New Roman" w:hAnsi="Times New Roman" w:cs="Times New Roman"/>
          <w:sz w:val="24"/>
          <w:szCs w:val="24"/>
        </w:rPr>
        <w:t xml:space="preserve"> e analizës se këtij Koncept Dokumenti. </w:t>
      </w:r>
    </w:p>
    <w:p w14:paraId="350AFFDF" w14:textId="77777777" w:rsidR="00F23DBF" w:rsidRPr="000D3717" w:rsidRDefault="00F23DBF" w:rsidP="000D3717">
      <w:pPr>
        <w:jc w:val="both"/>
        <w:rPr>
          <w:rFonts w:ascii="Times New Roman" w:hAnsi="Times New Roman" w:cs="Times New Roman"/>
          <w:sz w:val="24"/>
          <w:szCs w:val="24"/>
        </w:rPr>
      </w:pPr>
      <w:r w:rsidRPr="000D3717">
        <w:rPr>
          <w:rFonts w:ascii="Times New Roman" w:hAnsi="Times New Roman" w:cs="Times New Roman"/>
          <w:sz w:val="24"/>
          <w:szCs w:val="24"/>
        </w:rPr>
        <w:t>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fazën e dyt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dokumenti është bere i qasshëm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platformën për konsultime publike ku spektri i palëve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interesuara është me i gjer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dhe qasja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dokument për dhënien e </w:t>
      </w:r>
      <w:proofErr w:type="spellStart"/>
      <w:r w:rsidRPr="000D3717">
        <w:rPr>
          <w:rFonts w:ascii="Times New Roman" w:hAnsi="Times New Roman" w:cs="Times New Roman"/>
          <w:sz w:val="24"/>
          <w:szCs w:val="24"/>
        </w:rPr>
        <w:t>inputeve</w:t>
      </w:r>
      <w:proofErr w:type="spellEnd"/>
      <w:r w:rsidRPr="000D3717">
        <w:rPr>
          <w:rFonts w:ascii="Times New Roman" w:hAnsi="Times New Roman" w:cs="Times New Roman"/>
          <w:sz w:val="24"/>
          <w:szCs w:val="24"/>
        </w:rPr>
        <w:t xml:space="preserve"> apo komenteve është shume me e gjer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w:t>
      </w:r>
    </w:p>
    <w:p w14:paraId="0206D4F9" w14:textId="77777777" w:rsidR="00CC36BE" w:rsidRPr="000D3717" w:rsidRDefault="009E1A07" w:rsidP="009E1A07">
      <w:pPr>
        <w:pStyle w:val="Caption"/>
        <w:rPr>
          <w:rFonts w:ascii="Times New Roman" w:hAnsi="Times New Roman" w:cs="Times New Roman"/>
          <w:sz w:val="24"/>
          <w:szCs w:val="24"/>
        </w:rPr>
      </w:pPr>
      <w:r w:rsidRPr="000D3717">
        <w:rPr>
          <w:rFonts w:ascii="Times New Roman" w:hAnsi="Times New Roman" w:cs="Times New Roman"/>
          <w:sz w:val="24"/>
          <w:szCs w:val="24"/>
        </w:rPr>
        <w:t>Figur</w:t>
      </w:r>
      <w:r w:rsidR="00293B21"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64305F" w:rsidRPr="000D3717">
        <w:rPr>
          <w:rFonts w:ascii="Times New Roman" w:hAnsi="Times New Roman" w:cs="Times New Roman"/>
          <w:sz w:val="24"/>
          <w:szCs w:val="24"/>
        </w:rPr>
        <w:fldChar w:fldCharType="begin"/>
      </w:r>
      <w:r w:rsidR="00180BB0" w:rsidRPr="000D3717">
        <w:rPr>
          <w:rFonts w:ascii="Times New Roman" w:hAnsi="Times New Roman" w:cs="Times New Roman"/>
          <w:sz w:val="24"/>
          <w:szCs w:val="24"/>
        </w:rPr>
        <w:instrText xml:space="preserve"> SEQ Figure \* ARABIC </w:instrText>
      </w:r>
      <w:r w:rsidR="0064305F" w:rsidRPr="000D3717">
        <w:rPr>
          <w:rFonts w:ascii="Times New Roman" w:hAnsi="Times New Roman" w:cs="Times New Roman"/>
          <w:sz w:val="24"/>
          <w:szCs w:val="24"/>
        </w:rPr>
        <w:fldChar w:fldCharType="separate"/>
      </w:r>
      <w:r w:rsidR="0095778A">
        <w:rPr>
          <w:rFonts w:ascii="Times New Roman" w:hAnsi="Times New Roman" w:cs="Times New Roman"/>
          <w:noProof/>
          <w:sz w:val="24"/>
          <w:szCs w:val="24"/>
        </w:rPr>
        <w:t>3</w:t>
      </w:r>
      <w:r w:rsidR="0064305F" w:rsidRPr="000D3717">
        <w:rPr>
          <w:rFonts w:ascii="Times New Roman" w:hAnsi="Times New Roman" w:cs="Times New Roman"/>
          <w:sz w:val="24"/>
          <w:szCs w:val="24"/>
        </w:rPr>
        <w:fldChar w:fldCharType="end"/>
      </w:r>
      <w:r w:rsidRPr="000D3717">
        <w:rPr>
          <w:rFonts w:ascii="Times New Roman" w:hAnsi="Times New Roman" w:cs="Times New Roman"/>
          <w:sz w:val="24"/>
          <w:szCs w:val="24"/>
        </w:rPr>
        <w:t xml:space="preserve">: </w:t>
      </w:r>
      <w:r w:rsidR="006E79E5" w:rsidRPr="000D3717">
        <w:rPr>
          <w:rFonts w:ascii="Times New Roman" w:hAnsi="Times New Roman" w:cs="Times New Roman"/>
          <w:sz w:val="24"/>
          <w:szCs w:val="24"/>
        </w:rPr>
        <w:t>P</w:t>
      </w:r>
      <w:r w:rsidR="00293B21" w:rsidRPr="000D3717">
        <w:rPr>
          <w:rFonts w:ascii="Times New Roman" w:hAnsi="Times New Roman" w:cs="Times New Roman"/>
          <w:sz w:val="24"/>
          <w:szCs w:val="24"/>
        </w:rPr>
        <w:t>ërmbledhje e aktiviteteve të komunikimit dhe konsultimit të kryera për një koncept dokument</w:t>
      </w:r>
    </w:p>
    <w:tbl>
      <w:tblPr>
        <w:tblStyle w:val="TableGrid"/>
        <w:tblW w:w="10168" w:type="dxa"/>
        <w:tblLook w:val="04A0" w:firstRow="1" w:lastRow="0" w:firstColumn="1" w:lastColumn="0" w:noHBand="0" w:noVBand="1"/>
      </w:tblPr>
      <w:tblGrid>
        <w:gridCol w:w="1297"/>
        <w:gridCol w:w="1749"/>
        <w:gridCol w:w="1310"/>
        <w:gridCol w:w="2283"/>
        <w:gridCol w:w="1070"/>
        <w:gridCol w:w="1256"/>
        <w:gridCol w:w="1203"/>
      </w:tblGrid>
      <w:tr w:rsidR="005D63B3" w:rsidRPr="000D3717" w14:paraId="36C24C98" w14:textId="77777777" w:rsidTr="00695808">
        <w:tc>
          <w:tcPr>
            <w:tcW w:w="10168" w:type="dxa"/>
            <w:gridSpan w:val="7"/>
          </w:tcPr>
          <w:p w14:paraId="5B250875" w14:textId="77777777" w:rsidR="00F3653C" w:rsidRPr="000D3717" w:rsidRDefault="00DF1651" w:rsidP="00695808">
            <w:pPr>
              <w:rPr>
                <w:rFonts w:ascii="Times New Roman" w:hAnsi="Times New Roman" w:cs="Times New Roman"/>
                <w:sz w:val="24"/>
                <w:szCs w:val="24"/>
              </w:rPr>
            </w:pPr>
            <w:r w:rsidRPr="000D3717">
              <w:rPr>
                <w:rFonts w:ascii="Times New Roman" w:hAnsi="Times New Roman" w:cs="Times New Roman"/>
                <w:sz w:val="24"/>
                <w:szCs w:val="24"/>
              </w:rPr>
              <w:t>Procesi i  konsultimit synon</w:t>
            </w:r>
            <w:r w:rsidR="005D63B3" w:rsidRPr="000D3717">
              <w:rPr>
                <w:rFonts w:ascii="Times New Roman" w:hAnsi="Times New Roman" w:cs="Times New Roman"/>
                <w:sz w:val="24"/>
                <w:szCs w:val="24"/>
              </w:rPr>
              <w:t xml:space="preserve">: </w:t>
            </w:r>
            <w:r w:rsidR="00F23DBF" w:rsidRPr="000D3717">
              <w:rPr>
                <w:rFonts w:ascii="Times New Roman" w:hAnsi="Times New Roman" w:cs="Times New Roman"/>
                <w:sz w:val="24"/>
                <w:szCs w:val="24"/>
              </w:rPr>
              <w:t xml:space="preserve"> q</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dokumenti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jet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i</w:t>
            </w:r>
            <w:r w:rsidR="00F23DBF" w:rsidRPr="00B3100E">
              <w:rPr>
                <w:rFonts w:ascii="Times New Roman" w:hAnsi="Times New Roman" w:cs="Times New Roman"/>
                <w:color w:val="FF0000"/>
                <w:sz w:val="24"/>
                <w:szCs w:val="24"/>
              </w:rPr>
              <w:t xml:space="preserve"> </w:t>
            </w:r>
            <w:proofErr w:type="spellStart"/>
            <w:r w:rsidR="00F23DBF" w:rsidRPr="00B3100E">
              <w:rPr>
                <w:rFonts w:ascii="Times New Roman" w:hAnsi="Times New Roman" w:cs="Times New Roman"/>
                <w:color w:val="FF0000"/>
                <w:sz w:val="24"/>
                <w:szCs w:val="24"/>
              </w:rPr>
              <w:t>aksesuseshem</w:t>
            </w:r>
            <w:proofErr w:type="spellEnd"/>
            <w:r w:rsidR="004A4335">
              <w:rPr>
                <w:rFonts w:ascii="Times New Roman" w:hAnsi="Times New Roman" w:cs="Times New Roman"/>
                <w:sz w:val="24"/>
                <w:szCs w:val="24"/>
              </w:rPr>
              <w:t>?</w:t>
            </w:r>
            <w:r w:rsidR="00F23DBF" w:rsidRPr="004A4335">
              <w:rPr>
                <w:rFonts w:ascii="Times New Roman" w:hAnsi="Times New Roman" w:cs="Times New Roman"/>
                <w:sz w:val="24"/>
                <w:szCs w:val="24"/>
              </w:rPr>
              <w:t xml:space="preserve"> </w:t>
            </w:r>
            <w:r w:rsidR="00F23DBF" w:rsidRPr="000D3717">
              <w:rPr>
                <w:rFonts w:ascii="Times New Roman" w:hAnsi="Times New Roman" w:cs="Times New Roman"/>
                <w:sz w:val="24"/>
                <w:szCs w:val="24"/>
              </w:rPr>
              <w:t>nga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gjitha palët e interesit n</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w:t>
            </w:r>
            <w:r w:rsidR="00FE49EB" w:rsidRPr="000D3717">
              <w:rPr>
                <w:rFonts w:ascii="Times New Roman" w:hAnsi="Times New Roman" w:cs="Times New Roman"/>
                <w:sz w:val="24"/>
                <w:szCs w:val="24"/>
              </w:rPr>
              <w:t>mënyrë</w:t>
            </w:r>
            <w:r w:rsidR="00F23DBF" w:rsidRPr="000D3717">
              <w:rPr>
                <w:rFonts w:ascii="Times New Roman" w:hAnsi="Times New Roman" w:cs="Times New Roman"/>
                <w:sz w:val="24"/>
                <w:szCs w:val="24"/>
              </w:rPr>
              <w:t xml:space="preserve"> q</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jepen </w:t>
            </w:r>
            <w:proofErr w:type="spellStart"/>
            <w:r w:rsidR="00F23DBF" w:rsidRPr="000D3717">
              <w:rPr>
                <w:rFonts w:ascii="Times New Roman" w:hAnsi="Times New Roman" w:cs="Times New Roman"/>
                <w:sz w:val="24"/>
                <w:szCs w:val="24"/>
              </w:rPr>
              <w:t>inputet</w:t>
            </w:r>
            <w:proofErr w:type="spellEnd"/>
            <w:r w:rsidR="00F23DBF" w:rsidRPr="000D3717">
              <w:rPr>
                <w:rFonts w:ascii="Times New Roman" w:hAnsi="Times New Roman" w:cs="Times New Roman"/>
                <w:sz w:val="24"/>
                <w:szCs w:val="24"/>
              </w:rPr>
              <w:t xml:space="preserve"> apo </w:t>
            </w:r>
            <w:r w:rsidR="00FE49EB" w:rsidRPr="000D3717">
              <w:rPr>
                <w:rFonts w:ascii="Times New Roman" w:hAnsi="Times New Roman" w:cs="Times New Roman"/>
                <w:sz w:val="24"/>
                <w:szCs w:val="24"/>
              </w:rPr>
              <w:t xml:space="preserve">sugjerimet e nevojshme </w:t>
            </w:r>
            <w:r w:rsidR="00F23DBF" w:rsidRPr="000D3717">
              <w:rPr>
                <w:rFonts w:ascii="Times New Roman" w:hAnsi="Times New Roman" w:cs="Times New Roman"/>
                <w:sz w:val="24"/>
                <w:szCs w:val="24"/>
              </w:rPr>
              <w:t>q</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ky dokument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reflektoj interesat e shumicës duke ofruar opsionin me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mir</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n</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adresimin e problemit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identifikuar i cili gjithashtu </w:t>
            </w:r>
            <w:r w:rsidR="00FE49EB" w:rsidRPr="000D3717">
              <w:rPr>
                <w:rFonts w:ascii="Times New Roman" w:hAnsi="Times New Roman" w:cs="Times New Roman"/>
                <w:sz w:val="24"/>
                <w:szCs w:val="24"/>
              </w:rPr>
              <w:t>është</w:t>
            </w:r>
            <w:r w:rsidR="00F23DBF" w:rsidRPr="000D3717">
              <w:rPr>
                <w:rFonts w:ascii="Times New Roman" w:hAnsi="Times New Roman" w:cs="Times New Roman"/>
                <w:sz w:val="24"/>
                <w:szCs w:val="24"/>
              </w:rPr>
              <w:t xml:space="preserve"> konsultuar dhe definuar nëpërmjet fazës se par</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t</w:t>
            </w:r>
            <w:r w:rsidR="004A4335">
              <w:rPr>
                <w:rFonts w:ascii="Times New Roman" w:hAnsi="Times New Roman" w:cs="Times New Roman"/>
                <w:sz w:val="24"/>
                <w:szCs w:val="24"/>
              </w:rPr>
              <w:t>ë</w:t>
            </w:r>
            <w:r w:rsidR="00F23DBF" w:rsidRPr="000D3717">
              <w:rPr>
                <w:rFonts w:ascii="Times New Roman" w:hAnsi="Times New Roman" w:cs="Times New Roman"/>
                <w:sz w:val="24"/>
                <w:szCs w:val="24"/>
              </w:rPr>
              <w:t xml:space="preserve"> konsultimit publik me palët e interesit. </w:t>
            </w:r>
          </w:p>
        </w:tc>
      </w:tr>
      <w:tr w:rsidR="005D63B3" w:rsidRPr="000D3717" w14:paraId="1A837CFD" w14:textId="77777777" w:rsidTr="00695808">
        <w:tc>
          <w:tcPr>
            <w:tcW w:w="1297" w:type="dxa"/>
          </w:tcPr>
          <w:p w14:paraId="570136C3"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Qëllimi kryesor</w:t>
            </w:r>
          </w:p>
        </w:tc>
        <w:tc>
          <w:tcPr>
            <w:tcW w:w="1749" w:type="dxa"/>
          </w:tcPr>
          <w:p w14:paraId="649EC4FC"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Grupi i synuar</w:t>
            </w:r>
          </w:p>
        </w:tc>
        <w:tc>
          <w:tcPr>
            <w:tcW w:w="1310" w:type="dxa"/>
          </w:tcPr>
          <w:p w14:paraId="39F7D1D6"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Aktiviteti</w:t>
            </w:r>
          </w:p>
        </w:tc>
        <w:tc>
          <w:tcPr>
            <w:tcW w:w="2283" w:type="dxa"/>
          </w:tcPr>
          <w:p w14:paraId="7339D3DC"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Komunikimi/njoftimi</w:t>
            </w:r>
          </w:p>
        </w:tc>
        <w:tc>
          <w:tcPr>
            <w:tcW w:w="1070" w:type="dxa"/>
          </w:tcPr>
          <w:p w14:paraId="0C8185F4"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Afati indikativ</w:t>
            </w:r>
          </w:p>
        </w:tc>
        <w:tc>
          <w:tcPr>
            <w:tcW w:w="1256" w:type="dxa"/>
          </w:tcPr>
          <w:p w14:paraId="5FFC8BD3"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Buxheti i nevojshëm</w:t>
            </w:r>
          </w:p>
        </w:tc>
        <w:tc>
          <w:tcPr>
            <w:tcW w:w="1203" w:type="dxa"/>
          </w:tcPr>
          <w:p w14:paraId="768D019B" w14:textId="77777777" w:rsidR="005D63B3" w:rsidRPr="000D3717" w:rsidRDefault="00DF1651" w:rsidP="00180BB0">
            <w:pPr>
              <w:rPr>
                <w:rFonts w:ascii="Times New Roman" w:hAnsi="Times New Roman" w:cs="Times New Roman"/>
                <w:sz w:val="24"/>
                <w:szCs w:val="24"/>
              </w:rPr>
            </w:pPr>
            <w:r w:rsidRPr="000D3717">
              <w:rPr>
                <w:rFonts w:ascii="Times New Roman" w:hAnsi="Times New Roman" w:cs="Times New Roman"/>
                <w:sz w:val="24"/>
                <w:szCs w:val="24"/>
              </w:rPr>
              <w:t>Personi përgjegjës</w:t>
            </w:r>
          </w:p>
        </w:tc>
      </w:tr>
      <w:tr w:rsidR="0041068B" w:rsidRPr="000D3717" w14:paraId="07A42EB7" w14:textId="77777777" w:rsidTr="00695808">
        <w:tc>
          <w:tcPr>
            <w:tcW w:w="1297" w:type="dxa"/>
          </w:tcPr>
          <w:p w14:paraId="415EBC1E"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Takimi i hapur për të gjithë palët e interesuara </w:t>
            </w:r>
          </w:p>
        </w:tc>
        <w:tc>
          <w:tcPr>
            <w:tcW w:w="1749" w:type="dxa"/>
          </w:tcPr>
          <w:p w14:paraId="6A63AC4E"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Të gjitha palët e interesuara publiku (Bota akademike, përfaqësuesit e shoqatave të biznesit; Ekspertë për konkurrencë; përfaqësues të sistemit gjyqësor; shoqata e konsumatorëve; Komisioni Parlamentar për Zhvillim Ekonomik, Tregti; Partnerët Zhvillimor. </w:t>
            </w:r>
          </w:p>
        </w:tc>
        <w:tc>
          <w:tcPr>
            <w:tcW w:w="1310" w:type="dxa"/>
          </w:tcPr>
          <w:p w14:paraId="0CD60B46"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Takim publik </w:t>
            </w:r>
          </w:p>
        </w:tc>
        <w:tc>
          <w:tcPr>
            <w:tcW w:w="2283" w:type="dxa"/>
          </w:tcPr>
          <w:p w14:paraId="0A7B353B"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Përmes e-</w:t>
            </w:r>
            <w:proofErr w:type="spellStart"/>
            <w:r w:rsidRPr="000D3717">
              <w:rPr>
                <w:rFonts w:ascii="Times New Roman" w:hAnsi="Times New Roman" w:cs="Times New Roman"/>
                <w:sz w:val="24"/>
                <w:szCs w:val="24"/>
              </w:rPr>
              <w:t>mailit</w:t>
            </w:r>
            <w:proofErr w:type="spellEnd"/>
            <w:r w:rsidRPr="000D3717">
              <w:rPr>
                <w:rFonts w:ascii="Times New Roman" w:hAnsi="Times New Roman" w:cs="Times New Roman"/>
                <w:sz w:val="24"/>
                <w:szCs w:val="24"/>
              </w:rPr>
              <w:t xml:space="preserve"> grupet e </w:t>
            </w:r>
            <w:proofErr w:type="spellStart"/>
            <w:r w:rsidRPr="000D3717">
              <w:rPr>
                <w:rFonts w:ascii="Times New Roman" w:hAnsi="Times New Roman" w:cs="Times New Roman"/>
                <w:sz w:val="24"/>
                <w:szCs w:val="24"/>
              </w:rPr>
              <w:t>targetuara</w:t>
            </w:r>
            <w:proofErr w:type="spellEnd"/>
            <w:r w:rsidRPr="000D3717">
              <w:rPr>
                <w:rFonts w:ascii="Times New Roman" w:hAnsi="Times New Roman" w:cs="Times New Roman"/>
                <w:sz w:val="24"/>
                <w:szCs w:val="24"/>
              </w:rPr>
              <w:t xml:space="preserve">; </w:t>
            </w:r>
          </w:p>
          <w:p w14:paraId="33B5BFC6" w14:textId="77777777" w:rsidR="0041068B" w:rsidRPr="000D3717" w:rsidRDefault="0041068B" w:rsidP="0041068B">
            <w:pPr>
              <w:rPr>
                <w:rFonts w:ascii="Times New Roman" w:hAnsi="Times New Roman" w:cs="Times New Roman"/>
                <w:sz w:val="24"/>
                <w:szCs w:val="24"/>
              </w:rPr>
            </w:pPr>
          </w:p>
          <w:p w14:paraId="5E8AD044"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Publiku përmes njoftimit publik</w:t>
            </w:r>
          </w:p>
        </w:tc>
        <w:tc>
          <w:tcPr>
            <w:tcW w:w="1070" w:type="dxa"/>
          </w:tcPr>
          <w:p w14:paraId="0E64A988"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15 korrik 2018</w:t>
            </w:r>
          </w:p>
        </w:tc>
        <w:tc>
          <w:tcPr>
            <w:tcW w:w="1256" w:type="dxa"/>
          </w:tcPr>
          <w:p w14:paraId="46C87E4D"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Salla; </w:t>
            </w:r>
          </w:p>
          <w:p w14:paraId="14A23D25"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Përkthimi; </w:t>
            </w:r>
          </w:p>
          <w:p w14:paraId="2F1080DF" w14:textId="77777777" w:rsidR="0041068B" w:rsidRPr="000D3717" w:rsidRDefault="0041068B" w:rsidP="0041068B">
            <w:pPr>
              <w:rPr>
                <w:rFonts w:ascii="Times New Roman" w:hAnsi="Times New Roman" w:cs="Times New Roman"/>
                <w:sz w:val="24"/>
                <w:szCs w:val="24"/>
              </w:rPr>
            </w:pPr>
            <w:r w:rsidRPr="000D3717">
              <w:rPr>
                <w:rFonts w:ascii="Times New Roman" w:hAnsi="Times New Roman" w:cs="Times New Roman"/>
                <w:sz w:val="24"/>
                <w:szCs w:val="24"/>
              </w:rPr>
              <w:t xml:space="preserve">Pijet freskuese; </w:t>
            </w:r>
          </w:p>
          <w:p w14:paraId="272CA8FB" w14:textId="77777777" w:rsidR="0041068B" w:rsidRPr="000D3717" w:rsidRDefault="0041068B" w:rsidP="0041068B">
            <w:pPr>
              <w:rPr>
                <w:rFonts w:ascii="Times New Roman" w:hAnsi="Times New Roman" w:cs="Times New Roman"/>
                <w:sz w:val="24"/>
                <w:szCs w:val="24"/>
              </w:rPr>
            </w:pPr>
          </w:p>
        </w:tc>
        <w:tc>
          <w:tcPr>
            <w:tcW w:w="1203" w:type="dxa"/>
          </w:tcPr>
          <w:p w14:paraId="775B60F9" w14:textId="77777777" w:rsidR="0041068B" w:rsidRPr="000D3717" w:rsidRDefault="0041068B" w:rsidP="0041068B">
            <w:pPr>
              <w:rPr>
                <w:rFonts w:ascii="Times New Roman" w:hAnsi="Times New Roman" w:cs="Times New Roman"/>
                <w:sz w:val="24"/>
                <w:szCs w:val="24"/>
              </w:rPr>
            </w:pPr>
          </w:p>
        </w:tc>
      </w:tr>
      <w:tr w:rsidR="001A7D6D" w:rsidRPr="000D3717" w14:paraId="7F5E2441" w14:textId="77777777" w:rsidTr="00695808">
        <w:tc>
          <w:tcPr>
            <w:tcW w:w="1297" w:type="dxa"/>
          </w:tcPr>
          <w:p w14:paraId="40A0D881" w14:textId="77777777" w:rsidR="001A7D6D" w:rsidRPr="000D3717" w:rsidRDefault="00BB099D" w:rsidP="001A7D6D">
            <w:pPr>
              <w:rPr>
                <w:rFonts w:ascii="Times New Roman" w:hAnsi="Times New Roman" w:cs="Times New Roman"/>
                <w:sz w:val="24"/>
                <w:szCs w:val="24"/>
              </w:rPr>
            </w:pPr>
            <w:r w:rsidRPr="000D3717">
              <w:rPr>
                <w:rFonts w:ascii="Times New Roman" w:hAnsi="Times New Roman" w:cs="Times New Roman"/>
                <w:sz w:val="24"/>
                <w:szCs w:val="24"/>
              </w:rPr>
              <w:t>Konsultimi publik me shkrim</w:t>
            </w:r>
          </w:p>
        </w:tc>
        <w:tc>
          <w:tcPr>
            <w:tcW w:w="1749" w:type="dxa"/>
          </w:tcPr>
          <w:p w14:paraId="759EA547" w14:textId="77777777" w:rsidR="001A7D6D" w:rsidRPr="000D3717" w:rsidRDefault="00BB099D" w:rsidP="001A7D6D">
            <w:pPr>
              <w:rPr>
                <w:rFonts w:ascii="Times New Roman" w:hAnsi="Times New Roman" w:cs="Times New Roman"/>
                <w:sz w:val="24"/>
                <w:szCs w:val="24"/>
              </w:rPr>
            </w:pPr>
            <w:r w:rsidRPr="000D3717">
              <w:rPr>
                <w:rFonts w:ascii="Times New Roman" w:hAnsi="Times New Roman" w:cs="Times New Roman"/>
                <w:sz w:val="24"/>
                <w:szCs w:val="24"/>
              </w:rPr>
              <w:t>Të gjitha palët e interesuara</w:t>
            </w:r>
          </w:p>
        </w:tc>
        <w:tc>
          <w:tcPr>
            <w:tcW w:w="1310" w:type="dxa"/>
          </w:tcPr>
          <w:p w14:paraId="62377B85" w14:textId="77777777" w:rsidR="001A7D6D" w:rsidRPr="000D3717" w:rsidRDefault="00BB099D" w:rsidP="001A7D6D">
            <w:pPr>
              <w:rPr>
                <w:rFonts w:ascii="Times New Roman" w:hAnsi="Times New Roman" w:cs="Times New Roman"/>
                <w:sz w:val="24"/>
                <w:szCs w:val="24"/>
              </w:rPr>
            </w:pPr>
            <w:r w:rsidRPr="000D3717">
              <w:rPr>
                <w:rFonts w:ascii="Times New Roman" w:hAnsi="Times New Roman" w:cs="Times New Roman"/>
                <w:sz w:val="24"/>
                <w:szCs w:val="24"/>
              </w:rPr>
              <w:t>Publikimi i konsultimit në portalin për konsultim publik</w:t>
            </w:r>
          </w:p>
        </w:tc>
        <w:tc>
          <w:tcPr>
            <w:tcW w:w="2283" w:type="dxa"/>
          </w:tcPr>
          <w:p w14:paraId="058A785C" w14:textId="77777777" w:rsidR="001A7D6D" w:rsidRPr="000D3717" w:rsidRDefault="001A7D6D" w:rsidP="001A7D6D">
            <w:pPr>
              <w:rPr>
                <w:rFonts w:ascii="Times New Roman" w:hAnsi="Times New Roman" w:cs="Times New Roman"/>
                <w:sz w:val="24"/>
                <w:szCs w:val="24"/>
              </w:rPr>
            </w:pPr>
          </w:p>
        </w:tc>
        <w:tc>
          <w:tcPr>
            <w:tcW w:w="1070" w:type="dxa"/>
          </w:tcPr>
          <w:p w14:paraId="2C380923" w14:textId="77777777" w:rsidR="001A7D6D" w:rsidRPr="000D3717" w:rsidRDefault="00F23DBF" w:rsidP="001A7D6D">
            <w:pPr>
              <w:rPr>
                <w:rFonts w:ascii="Times New Roman" w:hAnsi="Times New Roman" w:cs="Times New Roman"/>
                <w:sz w:val="24"/>
                <w:szCs w:val="24"/>
              </w:rPr>
            </w:pPr>
            <w:r w:rsidRPr="000D3717">
              <w:rPr>
                <w:rFonts w:ascii="Times New Roman" w:hAnsi="Times New Roman" w:cs="Times New Roman"/>
                <w:sz w:val="24"/>
                <w:szCs w:val="24"/>
              </w:rPr>
              <w:t>(Afati Kohor)</w:t>
            </w:r>
          </w:p>
        </w:tc>
        <w:tc>
          <w:tcPr>
            <w:tcW w:w="1256" w:type="dxa"/>
          </w:tcPr>
          <w:p w14:paraId="7CC34187" w14:textId="77777777" w:rsidR="001A7D6D" w:rsidRPr="000D3717" w:rsidRDefault="00F23DBF" w:rsidP="001A7D6D">
            <w:pPr>
              <w:rPr>
                <w:rFonts w:ascii="Times New Roman" w:hAnsi="Times New Roman" w:cs="Times New Roman"/>
                <w:sz w:val="24"/>
                <w:szCs w:val="24"/>
              </w:rPr>
            </w:pPr>
            <w:r w:rsidRPr="000D3717">
              <w:rPr>
                <w:rFonts w:ascii="Times New Roman" w:hAnsi="Times New Roman" w:cs="Times New Roman"/>
                <w:sz w:val="24"/>
                <w:szCs w:val="24"/>
              </w:rPr>
              <w:t>Nuk Ka</w:t>
            </w:r>
          </w:p>
        </w:tc>
        <w:tc>
          <w:tcPr>
            <w:tcW w:w="1203" w:type="dxa"/>
          </w:tcPr>
          <w:p w14:paraId="69B5D2A0" w14:textId="77777777" w:rsidR="001A7D6D" w:rsidRPr="000D3717" w:rsidRDefault="001A7D6D" w:rsidP="001A7D6D">
            <w:pPr>
              <w:rPr>
                <w:rFonts w:ascii="Times New Roman" w:hAnsi="Times New Roman" w:cs="Times New Roman"/>
                <w:sz w:val="24"/>
                <w:szCs w:val="24"/>
              </w:rPr>
            </w:pPr>
          </w:p>
        </w:tc>
      </w:tr>
    </w:tbl>
    <w:p w14:paraId="59A1D38A" w14:textId="77777777" w:rsidR="005D63B3" w:rsidRPr="000D3717" w:rsidRDefault="005D63B3" w:rsidP="0075339D">
      <w:pPr>
        <w:rPr>
          <w:rFonts w:ascii="Times New Roman" w:hAnsi="Times New Roman" w:cs="Times New Roman"/>
          <w:sz w:val="24"/>
          <w:szCs w:val="24"/>
        </w:rPr>
      </w:pPr>
    </w:p>
    <w:p w14:paraId="303D2DC6" w14:textId="77777777" w:rsidR="0075339D" w:rsidRPr="000D3717" w:rsidRDefault="00180BB0" w:rsidP="00A61B6E">
      <w:pPr>
        <w:pStyle w:val="Heading1"/>
        <w:rPr>
          <w:rFonts w:ascii="Times New Roman" w:hAnsi="Times New Roman" w:cs="Times New Roman"/>
          <w:sz w:val="24"/>
          <w:szCs w:val="24"/>
        </w:rPr>
      </w:pPr>
      <w:bookmarkStart w:id="17" w:name="_Toc532388162"/>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6: </w:t>
      </w:r>
      <w:r w:rsidRPr="000D3717">
        <w:rPr>
          <w:rFonts w:ascii="Times New Roman" w:hAnsi="Times New Roman" w:cs="Times New Roman"/>
          <w:sz w:val="24"/>
          <w:szCs w:val="24"/>
        </w:rPr>
        <w:t>Krahasimi i opsioneve</w:t>
      </w:r>
      <w:bookmarkEnd w:id="17"/>
    </w:p>
    <w:p w14:paraId="3611DA33" w14:textId="77777777" w:rsidR="00A61B6E" w:rsidRPr="000D3717" w:rsidRDefault="00A61B6E" w:rsidP="0075339D">
      <w:pPr>
        <w:rPr>
          <w:rFonts w:ascii="Times New Roman" w:hAnsi="Times New Roman" w:cs="Times New Roman"/>
          <w:sz w:val="24"/>
          <w:szCs w:val="24"/>
        </w:rPr>
      </w:pPr>
    </w:p>
    <w:p w14:paraId="65ECA520" w14:textId="77777777" w:rsidR="00FE49EB" w:rsidRPr="000D3717" w:rsidRDefault="00FE49EB" w:rsidP="00FE49EB">
      <w:pPr>
        <w:jc w:val="both"/>
        <w:rPr>
          <w:rFonts w:ascii="Times New Roman" w:hAnsi="Times New Roman" w:cs="Times New Roman"/>
          <w:sz w:val="24"/>
          <w:szCs w:val="24"/>
        </w:rPr>
      </w:pPr>
      <w:r w:rsidRPr="000D3717">
        <w:rPr>
          <w:rFonts w:ascii="Times New Roman" w:hAnsi="Times New Roman" w:cs="Times New Roman"/>
          <w:sz w:val="24"/>
          <w:szCs w:val="24"/>
        </w:rPr>
        <w:lastRenderedPageBreak/>
        <w:t>Opsioni i parë dhe opsioni i tret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nuk do të kenë ndikime pozitive në adresimin e problemit kryesor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identifikuar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Përkundrazi, mund të kenë ndikim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kundërt në problemin e identifikuara duke rritur peshën negative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efekteve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identifikuara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tregun e lir</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dhe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mbrojtje 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konkur</w:t>
      </w:r>
      <w:r w:rsidR="004A4335">
        <w:rPr>
          <w:rFonts w:ascii="Times New Roman" w:hAnsi="Times New Roman" w:cs="Times New Roman"/>
          <w:sz w:val="24"/>
          <w:szCs w:val="24"/>
        </w:rPr>
        <w:t>r</w:t>
      </w:r>
      <w:r w:rsidRPr="000D3717">
        <w:rPr>
          <w:rFonts w:ascii="Times New Roman" w:hAnsi="Times New Roman" w:cs="Times New Roman"/>
          <w:sz w:val="24"/>
          <w:szCs w:val="24"/>
        </w:rPr>
        <w:t>enc</w:t>
      </w:r>
      <w:r w:rsidR="004A4335">
        <w:rPr>
          <w:rFonts w:ascii="Times New Roman" w:hAnsi="Times New Roman" w:cs="Times New Roman"/>
          <w:sz w:val="24"/>
          <w:szCs w:val="24"/>
        </w:rPr>
        <w:t>ë</w:t>
      </w:r>
      <w:r w:rsidRPr="000D3717">
        <w:rPr>
          <w:rFonts w:ascii="Times New Roman" w:hAnsi="Times New Roman" w:cs="Times New Roman"/>
          <w:sz w:val="24"/>
          <w:szCs w:val="24"/>
        </w:rPr>
        <w:t>s. Në anën tjetër, opsioni i dyt</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do të ketë ndikim të drejtpërdrejtë në përmirësimin e infrastrukturës ligjore e cila rregullon dhe mbron tregun e lir</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dhe konkurrencën n</w:t>
      </w:r>
      <w:r w:rsidR="004A4335">
        <w:rPr>
          <w:rFonts w:ascii="Times New Roman" w:hAnsi="Times New Roman" w:cs="Times New Roman"/>
          <w:sz w:val="24"/>
          <w:szCs w:val="24"/>
        </w:rPr>
        <w:t>ë</w:t>
      </w:r>
      <w:r w:rsidRPr="000D3717">
        <w:rPr>
          <w:rFonts w:ascii="Times New Roman" w:hAnsi="Times New Roman" w:cs="Times New Roman"/>
          <w:sz w:val="24"/>
          <w:szCs w:val="24"/>
        </w:rPr>
        <w:t xml:space="preserve"> Republikën e Kosovës. </w:t>
      </w:r>
    </w:p>
    <w:p w14:paraId="4287AB38" w14:textId="77777777" w:rsidR="00117147" w:rsidRPr="000D3717" w:rsidRDefault="00A477AE" w:rsidP="00117147">
      <w:pPr>
        <w:pStyle w:val="Heading2"/>
        <w:rPr>
          <w:rFonts w:ascii="Times New Roman" w:hAnsi="Times New Roman" w:cs="Times New Roman"/>
          <w:sz w:val="24"/>
          <w:szCs w:val="24"/>
        </w:rPr>
      </w:pPr>
      <w:bookmarkStart w:id="18" w:name="_Toc532388163"/>
      <w:r w:rsidRPr="000D3717">
        <w:rPr>
          <w:rFonts w:ascii="Times New Roman" w:hAnsi="Times New Roman" w:cs="Times New Roman"/>
          <w:sz w:val="24"/>
          <w:szCs w:val="24"/>
        </w:rPr>
        <w:t>K</w:t>
      </w:r>
      <w:r w:rsidR="00117147" w:rsidRPr="000D3717">
        <w:rPr>
          <w:rFonts w:ascii="Times New Roman" w:hAnsi="Times New Roman" w:cs="Times New Roman"/>
          <w:sz w:val="24"/>
          <w:szCs w:val="24"/>
        </w:rPr>
        <w:t>ap</w:t>
      </w:r>
      <w:r w:rsidRPr="000D3717">
        <w:rPr>
          <w:rFonts w:ascii="Times New Roman" w:hAnsi="Times New Roman" w:cs="Times New Roman"/>
          <w:sz w:val="24"/>
          <w:szCs w:val="24"/>
        </w:rPr>
        <w:t>i</w:t>
      </w:r>
      <w:r w:rsidR="00117147" w:rsidRPr="000D3717">
        <w:rPr>
          <w:rFonts w:ascii="Times New Roman" w:hAnsi="Times New Roman" w:cs="Times New Roman"/>
          <w:sz w:val="24"/>
          <w:szCs w:val="24"/>
        </w:rPr>
        <w:t>t</w:t>
      </w:r>
      <w:r w:rsidRPr="000D3717">
        <w:rPr>
          <w:rFonts w:ascii="Times New Roman" w:hAnsi="Times New Roman" w:cs="Times New Roman"/>
          <w:sz w:val="24"/>
          <w:szCs w:val="24"/>
        </w:rPr>
        <w:t>ulli</w:t>
      </w:r>
      <w:r w:rsidR="00117147" w:rsidRPr="000D3717">
        <w:rPr>
          <w:rFonts w:ascii="Times New Roman" w:hAnsi="Times New Roman" w:cs="Times New Roman"/>
          <w:sz w:val="24"/>
          <w:szCs w:val="24"/>
        </w:rPr>
        <w:t xml:space="preserve"> 6.1: </w:t>
      </w:r>
      <w:r w:rsidRPr="000D3717">
        <w:rPr>
          <w:rFonts w:ascii="Times New Roman" w:hAnsi="Times New Roman" w:cs="Times New Roman"/>
          <w:sz w:val="24"/>
          <w:szCs w:val="24"/>
        </w:rPr>
        <w:t>Planet e zbatimit për opsionet e ndryshme</w:t>
      </w:r>
      <w:bookmarkEnd w:id="18"/>
    </w:p>
    <w:p w14:paraId="69C06114" w14:textId="77777777" w:rsidR="00117147" w:rsidRPr="000D3717" w:rsidRDefault="00117147" w:rsidP="00117147">
      <w:pPr>
        <w:rPr>
          <w:rFonts w:ascii="Times New Roman" w:hAnsi="Times New Roman" w:cs="Times New Roman"/>
          <w:sz w:val="24"/>
          <w:szCs w:val="24"/>
        </w:rPr>
      </w:pPr>
    </w:p>
    <w:p w14:paraId="14591F06" w14:textId="22ECB96F" w:rsidR="00FE49EB" w:rsidRPr="000D3717" w:rsidRDefault="00FE49EB" w:rsidP="00117147">
      <w:pPr>
        <w:rPr>
          <w:rFonts w:ascii="Times New Roman" w:hAnsi="Times New Roman" w:cs="Times New Roman"/>
          <w:sz w:val="24"/>
          <w:szCs w:val="24"/>
        </w:rPr>
      </w:pPr>
      <w:r w:rsidRPr="000D3717">
        <w:rPr>
          <w:rFonts w:ascii="Times New Roman" w:hAnsi="Times New Roman" w:cs="Times New Roman"/>
          <w:sz w:val="24"/>
          <w:szCs w:val="24"/>
        </w:rPr>
        <w:t>Problemi q</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është identifikuar n</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w:t>
      </w:r>
      <w:r w:rsidRPr="000D3717">
        <w:rPr>
          <w:rFonts w:ascii="Times New Roman" w:hAnsi="Times New Roman" w:cs="Times New Roman"/>
          <w:b/>
          <w:sz w:val="24"/>
          <w:szCs w:val="24"/>
        </w:rPr>
        <w:t>Vështirësi në funksionimin e lirë të tregut dhe mbrojtjen e konkurrencës</w:t>
      </w:r>
      <w:r w:rsidRPr="000D3717">
        <w:rPr>
          <w:rFonts w:ascii="Times New Roman" w:hAnsi="Times New Roman" w:cs="Times New Roman"/>
          <w:sz w:val="24"/>
          <w:szCs w:val="24"/>
        </w:rPr>
        <w:t>” është kryesisht i ndërlidhur me bazën aktuale ligjore. Përmes opsionit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dyt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w:t>
      </w:r>
      <w:r w:rsidRPr="000D3717">
        <w:rPr>
          <w:rFonts w:ascii="Times New Roman" w:hAnsi="Times New Roman" w:cs="Times New Roman"/>
          <w:b/>
          <w:sz w:val="24"/>
          <w:szCs w:val="24"/>
        </w:rPr>
        <w:t>Opsioni për përmirësimin e zbatimit dhe ekzekutimit</w:t>
      </w:r>
      <w:r w:rsidRPr="000D3717">
        <w:rPr>
          <w:rFonts w:ascii="Times New Roman" w:hAnsi="Times New Roman" w:cs="Times New Roman"/>
          <w:sz w:val="24"/>
          <w:szCs w:val="24"/>
        </w:rPr>
        <w:t>”  synohet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arrihet ndryshimi i politikave ekzistuese, përmes hartimit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Ligjit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ri për mbrojtjen </w:t>
      </w:r>
      <w:r w:rsidR="00297CA2">
        <w:rPr>
          <w:rFonts w:ascii="Times New Roman" w:hAnsi="Times New Roman" w:cs="Times New Roman"/>
          <w:sz w:val="24"/>
          <w:szCs w:val="24"/>
        </w:rPr>
        <w:t xml:space="preserve">e </w:t>
      </w:r>
      <w:r w:rsidRPr="000D3717">
        <w:rPr>
          <w:rFonts w:ascii="Times New Roman" w:hAnsi="Times New Roman" w:cs="Times New Roman"/>
          <w:sz w:val="24"/>
          <w:szCs w:val="24"/>
        </w:rPr>
        <w:t>konkurrencës, i cili do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duhet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merrte për baz</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rekomandimet e m</w:t>
      </w:r>
      <w:r w:rsidR="00297CA2">
        <w:rPr>
          <w:rFonts w:ascii="Times New Roman" w:hAnsi="Times New Roman" w:cs="Times New Roman"/>
          <w:sz w:val="24"/>
          <w:szCs w:val="24"/>
        </w:rPr>
        <w:t>ë</w:t>
      </w:r>
      <w:r w:rsidRPr="000D3717">
        <w:rPr>
          <w:rFonts w:ascii="Times New Roman" w:hAnsi="Times New Roman" w:cs="Times New Roman"/>
          <w:sz w:val="24"/>
          <w:szCs w:val="24"/>
        </w:rPr>
        <w:t xml:space="preserve"> poshtë t</w:t>
      </w:r>
      <w:r w:rsidR="008C0BE2">
        <w:rPr>
          <w:rFonts w:ascii="Times New Roman" w:hAnsi="Times New Roman" w:cs="Times New Roman"/>
          <w:sz w:val="24"/>
          <w:szCs w:val="24"/>
        </w:rPr>
        <w:t>ë</w:t>
      </w:r>
      <w:r w:rsidRPr="000D3717">
        <w:rPr>
          <w:rFonts w:ascii="Times New Roman" w:hAnsi="Times New Roman" w:cs="Times New Roman"/>
          <w:sz w:val="24"/>
          <w:szCs w:val="24"/>
        </w:rPr>
        <w:t xml:space="preserve"> dala nga analiza e këtij Koncept Dokumenti. </w:t>
      </w:r>
    </w:p>
    <w:p w14:paraId="3A07EC17" w14:textId="77777777" w:rsidR="007755F8" w:rsidRPr="007755F8" w:rsidRDefault="007755F8" w:rsidP="007755F8">
      <w:pPr>
        <w:spacing w:after="200" w:line="240" w:lineRule="auto"/>
        <w:rPr>
          <w:rFonts w:ascii="Times New Roman" w:eastAsia="Calibri" w:hAnsi="Times New Roman" w:cs="Times New Roman"/>
          <w:i/>
          <w:iCs/>
          <w:color w:val="44546A"/>
          <w:sz w:val="24"/>
          <w:szCs w:val="24"/>
        </w:rPr>
      </w:pPr>
      <w:r w:rsidRPr="007755F8">
        <w:rPr>
          <w:rFonts w:ascii="Times New Roman" w:eastAsia="Calibri" w:hAnsi="Times New Roman" w:cs="Times New Roman"/>
          <w:i/>
          <w:iCs/>
          <w:color w:val="44546A"/>
          <w:sz w:val="24"/>
          <w:szCs w:val="24"/>
        </w:rPr>
        <w:t xml:space="preserve">Figura </w:t>
      </w:r>
      <w:r w:rsidR="0064305F" w:rsidRPr="007755F8">
        <w:rPr>
          <w:rFonts w:ascii="Times New Roman" w:eastAsia="Calibri" w:hAnsi="Times New Roman" w:cs="Times New Roman"/>
          <w:i/>
          <w:iCs/>
          <w:color w:val="44546A"/>
          <w:sz w:val="24"/>
          <w:szCs w:val="24"/>
        </w:rPr>
        <w:fldChar w:fldCharType="begin"/>
      </w:r>
      <w:r w:rsidRPr="007755F8">
        <w:rPr>
          <w:rFonts w:ascii="Times New Roman" w:eastAsia="Calibri" w:hAnsi="Times New Roman" w:cs="Times New Roman"/>
          <w:i/>
          <w:iCs/>
          <w:color w:val="44546A"/>
          <w:sz w:val="24"/>
          <w:szCs w:val="24"/>
        </w:rPr>
        <w:instrText xml:space="preserve"> SEQ Figure \* ARABIC </w:instrText>
      </w:r>
      <w:r w:rsidR="0064305F" w:rsidRPr="007755F8">
        <w:rPr>
          <w:rFonts w:ascii="Times New Roman" w:eastAsia="Calibri" w:hAnsi="Times New Roman" w:cs="Times New Roman"/>
          <w:i/>
          <w:iCs/>
          <w:color w:val="44546A"/>
          <w:sz w:val="24"/>
          <w:szCs w:val="24"/>
        </w:rPr>
        <w:fldChar w:fldCharType="separate"/>
      </w:r>
      <w:r w:rsidR="0095778A">
        <w:rPr>
          <w:rFonts w:ascii="Times New Roman" w:eastAsia="Calibri" w:hAnsi="Times New Roman" w:cs="Times New Roman"/>
          <w:i/>
          <w:iCs/>
          <w:noProof/>
          <w:color w:val="44546A"/>
          <w:sz w:val="24"/>
          <w:szCs w:val="24"/>
        </w:rPr>
        <w:t>4</w:t>
      </w:r>
      <w:r w:rsidR="0064305F" w:rsidRPr="007755F8">
        <w:rPr>
          <w:rFonts w:ascii="Times New Roman" w:eastAsia="Calibri" w:hAnsi="Times New Roman" w:cs="Times New Roman"/>
          <w:i/>
          <w:iCs/>
          <w:color w:val="44546A"/>
          <w:sz w:val="24"/>
          <w:szCs w:val="24"/>
        </w:rPr>
        <w:fldChar w:fldCharType="end"/>
      </w:r>
      <w:r w:rsidRPr="007755F8">
        <w:rPr>
          <w:rFonts w:ascii="Times New Roman" w:eastAsia="Calibri" w:hAnsi="Times New Roman" w:cs="Times New Roman"/>
          <w:i/>
          <w:iCs/>
          <w:color w:val="44546A"/>
          <w:sz w:val="24"/>
          <w:szCs w:val="24"/>
        </w:rPr>
        <w:t>: Plani i zbatimit për Opsionin 2</w:t>
      </w:r>
    </w:p>
    <w:tbl>
      <w:tblPr>
        <w:tblStyle w:val="TableGrid"/>
        <w:tblW w:w="11070" w:type="dxa"/>
        <w:tblInd w:w="-612" w:type="dxa"/>
        <w:tblLayout w:type="fixed"/>
        <w:tblLook w:val="04A0" w:firstRow="1" w:lastRow="0" w:firstColumn="1" w:lastColumn="0" w:noHBand="0" w:noVBand="1"/>
      </w:tblPr>
      <w:tblGrid>
        <w:gridCol w:w="1080"/>
        <w:gridCol w:w="1350"/>
        <w:gridCol w:w="1980"/>
        <w:gridCol w:w="882"/>
        <w:gridCol w:w="882"/>
        <w:gridCol w:w="882"/>
        <w:gridCol w:w="882"/>
        <w:gridCol w:w="891"/>
        <w:gridCol w:w="1341"/>
        <w:gridCol w:w="900"/>
      </w:tblGrid>
      <w:tr w:rsidR="00E13795" w:rsidRPr="00011E0A" w14:paraId="41287344" w14:textId="77777777" w:rsidTr="00D0483F">
        <w:trPr>
          <w:trHeight w:val="719"/>
        </w:trPr>
        <w:tc>
          <w:tcPr>
            <w:tcW w:w="1080" w:type="dxa"/>
          </w:tcPr>
          <w:p w14:paraId="5CF9100F"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Qëllimi i</w:t>
            </w:r>
          </w:p>
          <w:p w14:paraId="59EA0A41"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politikës</w:t>
            </w:r>
          </w:p>
        </w:tc>
        <w:tc>
          <w:tcPr>
            <w:tcW w:w="9090" w:type="dxa"/>
            <w:gridSpan w:val="8"/>
          </w:tcPr>
          <w:p w14:paraId="029854A8" w14:textId="31D42C0E" w:rsidR="007755F8" w:rsidRPr="00011E0A" w:rsidRDefault="00F125BD"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Përmirësimi i kornizës ligjore</w:t>
            </w:r>
            <w:r w:rsidR="007755F8"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b/>
                <w:sz w:val="20"/>
                <w:szCs w:val="20"/>
              </w:rPr>
              <w:t>në fushën e</w:t>
            </w:r>
            <w:r w:rsidR="007755F8" w:rsidRPr="00011E0A">
              <w:rPr>
                <w:rFonts w:ascii="Times New Roman" w:eastAsia="Calibri" w:hAnsi="Times New Roman" w:cs="Times New Roman"/>
                <w:b/>
                <w:sz w:val="20"/>
                <w:szCs w:val="20"/>
              </w:rPr>
              <w:t xml:space="preserve"> mbrojtje</w:t>
            </w:r>
            <w:r w:rsidRPr="00011E0A">
              <w:rPr>
                <w:rFonts w:ascii="Times New Roman" w:eastAsia="Calibri" w:hAnsi="Times New Roman" w:cs="Times New Roman"/>
                <w:b/>
                <w:sz w:val="20"/>
                <w:szCs w:val="20"/>
              </w:rPr>
              <w:t>s së</w:t>
            </w:r>
            <w:r w:rsidR="007755F8" w:rsidRPr="00011E0A">
              <w:rPr>
                <w:rFonts w:ascii="Times New Roman" w:eastAsia="Calibri" w:hAnsi="Times New Roman" w:cs="Times New Roman"/>
                <w:b/>
                <w:sz w:val="20"/>
                <w:szCs w:val="20"/>
              </w:rPr>
              <w:t xml:space="preserve"> konkurrencës</w:t>
            </w:r>
          </w:p>
        </w:tc>
        <w:tc>
          <w:tcPr>
            <w:tcW w:w="900" w:type="dxa"/>
            <w:vMerge w:val="restart"/>
          </w:tcPr>
          <w:p w14:paraId="28F459DE"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Shifra e kostos së pritur</w:t>
            </w:r>
          </w:p>
        </w:tc>
      </w:tr>
      <w:tr w:rsidR="00E13795" w:rsidRPr="00011E0A" w14:paraId="5F938AE4" w14:textId="77777777" w:rsidTr="00D0483F">
        <w:tc>
          <w:tcPr>
            <w:tcW w:w="1080" w:type="dxa"/>
          </w:tcPr>
          <w:p w14:paraId="47DACB79"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Objektivi strategjik</w:t>
            </w:r>
          </w:p>
        </w:tc>
        <w:tc>
          <w:tcPr>
            <w:tcW w:w="9090" w:type="dxa"/>
            <w:gridSpan w:val="8"/>
          </w:tcPr>
          <w:p w14:paraId="2FBCBDA5"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Sigurimi i infrastrukturës ligjore për mbrojtjen e konkurrencës dhe tregut të lirë në Republikën e Kosovës. </w:t>
            </w:r>
          </w:p>
        </w:tc>
        <w:tc>
          <w:tcPr>
            <w:tcW w:w="900" w:type="dxa"/>
            <w:vMerge/>
          </w:tcPr>
          <w:p w14:paraId="76C430DD"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1163DC3E" w14:textId="77777777" w:rsidTr="00D0483F">
        <w:tc>
          <w:tcPr>
            <w:tcW w:w="1080" w:type="dxa"/>
          </w:tcPr>
          <w:p w14:paraId="3A44295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9090" w:type="dxa"/>
            <w:gridSpan w:val="8"/>
          </w:tcPr>
          <w:p w14:paraId="63F3BB23" w14:textId="5864821A" w:rsidR="007755F8" w:rsidRPr="00011E0A" w:rsidRDefault="00F125BD"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Korniza Ligjore e Re e finalizuar dhe miratuar.</w:t>
            </w:r>
          </w:p>
        </w:tc>
        <w:tc>
          <w:tcPr>
            <w:tcW w:w="900" w:type="dxa"/>
            <w:vMerge/>
          </w:tcPr>
          <w:p w14:paraId="185F0C34"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5FDC7F5C" w14:textId="77777777" w:rsidTr="00D0483F">
        <w:tc>
          <w:tcPr>
            <w:tcW w:w="1080" w:type="dxa"/>
            <w:vMerge w:val="restart"/>
          </w:tcPr>
          <w:p w14:paraId="3F04F696"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Objektivi Specifik 1</w:t>
            </w:r>
          </w:p>
        </w:tc>
        <w:tc>
          <w:tcPr>
            <w:tcW w:w="1350" w:type="dxa"/>
            <w:vMerge w:val="restart"/>
          </w:tcPr>
          <w:p w14:paraId="3C74BDF2" w14:textId="046B62B5" w:rsidR="007755F8" w:rsidRPr="00011E0A" w:rsidRDefault="00B22DB1" w:rsidP="00F71EF7">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Produkti</w:t>
            </w:r>
            <w:r w:rsidR="007755F8" w:rsidRPr="00011E0A">
              <w:rPr>
                <w:rFonts w:ascii="Times New Roman" w:eastAsia="Calibri" w:hAnsi="Times New Roman" w:cs="Times New Roman"/>
                <w:b/>
                <w:sz w:val="20"/>
                <w:szCs w:val="20"/>
              </w:rPr>
              <w:t xml:space="preserve"> 1.1</w:t>
            </w:r>
            <w:r w:rsidR="00E13795" w:rsidRPr="00011E0A">
              <w:rPr>
                <w:rFonts w:ascii="Times New Roman" w:eastAsia="Calibri" w:hAnsi="Times New Roman" w:cs="Times New Roman"/>
                <w:b/>
                <w:sz w:val="20"/>
                <w:szCs w:val="20"/>
              </w:rPr>
              <w:t xml:space="preserve"> </w:t>
            </w:r>
          </w:p>
        </w:tc>
        <w:tc>
          <w:tcPr>
            <w:tcW w:w="7740" w:type="dxa"/>
            <w:gridSpan w:val="7"/>
          </w:tcPr>
          <w:p w14:paraId="65A7C481" w14:textId="479C00D9" w:rsidR="007755F8" w:rsidRPr="00011E0A" w:rsidRDefault="00F71EF7"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Ligji i ri për mbrojtjen e konkurrencës</w:t>
            </w:r>
          </w:p>
          <w:p w14:paraId="702A6FAA"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900" w:type="dxa"/>
          </w:tcPr>
          <w:p w14:paraId="270AAEB1"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31EA6CE2" w14:textId="77777777" w:rsidTr="005B54DA">
        <w:tc>
          <w:tcPr>
            <w:tcW w:w="1080" w:type="dxa"/>
            <w:vMerge/>
          </w:tcPr>
          <w:p w14:paraId="290EDC1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3A1D446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FD50CAA"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7B539DE9" w14:textId="77777777" w:rsidR="007755F8" w:rsidRPr="00011E0A" w:rsidRDefault="007755F8" w:rsidP="00D0483F">
            <w:pPr>
              <w:spacing w:after="160"/>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p w14:paraId="51DDF0C6" w14:textId="77777777" w:rsidR="007755F8" w:rsidRPr="00011E0A" w:rsidRDefault="007755F8" w:rsidP="00D0483F">
            <w:pPr>
              <w:spacing w:after="160"/>
              <w:rPr>
                <w:rFonts w:ascii="Times New Roman" w:eastAsia="Calibri" w:hAnsi="Times New Roman" w:cs="Times New Roman"/>
                <w:b/>
                <w:sz w:val="20"/>
                <w:szCs w:val="20"/>
              </w:rPr>
            </w:pPr>
            <w:r w:rsidRPr="00011E0A">
              <w:rPr>
                <w:rFonts w:ascii="Times New Roman" w:eastAsia="Calibri" w:hAnsi="Times New Roman" w:cs="Times New Roman"/>
                <w:b/>
                <w:sz w:val="20"/>
                <w:szCs w:val="20"/>
              </w:rPr>
              <w:t>(2019)</w:t>
            </w:r>
          </w:p>
        </w:tc>
        <w:tc>
          <w:tcPr>
            <w:tcW w:w="882" w:type="dxa"/>
          </w:tcPr>
          <w:p w14:paraId="4A6AC2F5"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p w14:paraId="7CC60179"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(2020)</w:t>
            </w:r>
          </w:p>
        </w:tc>
        <w:tc>
          <w:tcPr>
            <w:tcW w:w="882" w:type="dxa"/>
          </w:tcPr>
          <w:p w14:paraId="5333824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p w14:paraId="7A1AD435"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(2021)</w:t>
            </w:r>
          </w:p>
        </w:tc>
        <w:tc>
          <w:tcPr>
            <w:tcW w:w="882" w:type="dxa"/>
          </w:tcPr>
          <w:p w14:paraId="724BE857"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p w14:paraId="651D51C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(2022)</w:t>
            </w:r>
          </w:p>
        </w:tc>
        <w:tc>
          <w:tcPr>
            <w:tcW w:w="891" w:type="dxa"/>
          </w:tcPr>
          <w:p w14:paraId="30D843F2"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p w14:paraId="73B37B45"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(2023)</w:t>
            </w:r>
          </w:p>
        </w:tc>
        <w:tc>
          <w:tcPr>
            <w:tcW w:w="1341" w:type="dxa"/>
          </w:tcPr>
          <w:p w14:paraId="478CF689"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 /departamenti përgjegjës</w:t>
            </w:r>
          </w:p>
        </w:tc>
        <w:tc>
          <w:tcPr>
            <w:tcW w:w="900" w:type="dxa"/>
          </w:tcPr>
          <w:p w14:paraId="05DAB1FA"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642A318C" w14:textId="77777777" w:rsidTr="005B54DA">
        <w:trPr>
          <w:trHeight w:val="1133"/>
        </w:trPr>
        <w:tc>
          <w:tcPr>
            <w:tcW w:w="1080" w:type="dxa"/>
            <w:vMerge/>
          </w:tcPr>
          <w:p w14:paraId="095FE24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3E77D4B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162963E7" w14:textId="3CF13FFB" w:rsidR="007755F8" w:rsidRPr="00011E0A" w:rsidRDefault="007755F8" w:rsidP="00F71EF7">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1.1.1</w:t>
            </w:r>
            <w:r w:rsidR="00E13795" w:rsidRPr="00011E0A">
              <w:rPr>
                <w:rFonts w:ascii="Times New Roman" w:eastAsia="Calibri" w:hAnsi="Times New Roman" w:cs="Times New Roman"/>
                <w:b/>
                <w:sz w:val="20"/>
                <w:szCs w:val="20"/>
              </w:rPr>
              <w:t xml:space="preserve"> </w:t>
            </w:r>
            <w:r w:rsidR="00F71EF7" w:rsidRPr="00011E0A">
              <w:rPr>
                <w:rFonts w:ascii="Times New Roman" w:eastAsia="Calibri" w:hAnsi="Times New Roman" w:cs="Times New Roman"/>
                <w:sz w:val="20"/>
                <w:szCs w:val="20"/>
              </w:rPr>
              <w:t>H</w:t>
            </w:r>
            <w:r w:rsidRPr="00011E0A">
              <w:rPr>
                <w:rFonts w:ascii="Times New Roman" w:eastAsia="Calibri" w:hAnsi="Times New Roman" w:cs="Times New Roman"/>
                <w:sz w:val="20"/>
                <w:szCs w:val="20"/>
              </w:rPr>
              <w:t>artimi i ligjit të ri</w:t>
            </w:r>
          </w:p>
        </w:tc>
        <w:tc>
          <w:tcPr>
            <w:tcW w:w="882" w:type="dxa"/>
          </w:tcPr>
          <w:p w14:paraId="4CEA5774" w14:textId="5670F2B1"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5529E25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42DE193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5D79865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1A23255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515BAEB4"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MTI</w:t>
            </w:r>
          </w:p>
          <w:p w14:paraId="454A0928"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444E0E3C"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900" w:type="dxa"/>
          </w:tcPr>
          <w:p w14:paraId="0184F150" w14:textId="2ECDA161"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4</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p>
        </w:tc>
      </w:tr>
      <w:tr w:rsidR="00E13795" w:rsidRPr="00011E0A" w14:paraId="38AFAE43" w14:textId="77777777" w:rsidTr="005B54DA">
        <w:trPr>
          <w:trHeight w:val="1610"/>
        </w:trPr>
        <w:tc>
          <w:tcPr>
            <w:tcW w:w="1080" w:type="dxa"/>
            <w:vMerge/>
          </w:tcPr>
          <w:p w14:paraId="41BBBD8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5A619D2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DD7EB10" w14:textId="77777777" w:rsidR="007755F8" w:rsidRPr="00011E0A" w:rsidRDefault="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1.1.2</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Konsultimet paraprake me ministritë e linjës dhe palët e interesit</w:t>
            </w:r>
          </w:p>
        </w:tc>
        <w:tc>
          <w:tcPr>
            <w:tcW w:w="882" w:type="dxa"/>
          </w:tcPr>
          <w:p w14:paraId="0F61C099" w14:textId="2481A587"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342663C2"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3FCDC97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54B6B8B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00D92032"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24B4DE3B"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MTI</w:t>
            </w:r>
          </w:p>
          <w:p w14:paraId="49BE3C86"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AKK </w:t>
            </w:r>
          </w:p>
          <w:p w14:paraId="2224C3C6"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Ministritë e linjës</w:t>
            </w:r>
          </w:p>
          <w:p w14:paraId="7777520D"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Palët e interesit</w:t>
            </w:r>
          </w:p>
        </w:tc>
        <w:tc>
          <w:tcPr>
            <w:tcW w:w="900" w:type="dxa"/>
          </w:tcPr>
          <w:p w14:paraId="3793B5BC"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5C0F847A" w14:textId="77777777" w:rsidTr="005B54DA">
        <w:trPr>
          <w:trHeight w:val="1637"/>
        </w:trPr>
        <w:tc>
          <w:tcPr>
            <w:tcW w:w="1080" w:type="dxa"/>
            <w:vMerge/>
          </w:tcPr>
          <w:p w14:paraId="46BD065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5CA86AA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441073F7" w14:textId="77777777" w:rsidR="007755F8" w:rsidRPr="00011E0A" w:rsidRDefault="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1.1.3</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Paraqitja e ligjit të ri me të gjitha dokumentet përkatëse për miratim nga Qeveria</w:t>
            </w:r>
          </w:p>
        </w:tc>
        <w:tc>
          <w:tcPr>
            <w:tcW w:w="882" w:type="dxa"/>
          </w:tcPr>
          <w:p w14:paraId="463DA8C4" w14:textId="12ABF53F"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46803F78"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410FB762"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12FB0DC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444D848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6CE32AED"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MTI</w:t>
            </w:r>
          </w:p>
          <w:p w14:paraId="61F2C327"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39358F27"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ZKM</w:t>
            </w:r>
          </w:p>
        </w:tc>
        <w:tc>
          <w:tcPr>
            <w:tcW w:w="900" w:type="dxa"/>
          </w:tcPr>
          <w:p w14:paraId="56C198CB"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58C95C0E" w14:textId="77777777" w:rsidTr="005B54DA">
        <w:trPr>
          <w:trHeight w:val="782"/>
        </w:trPr>
        <w:tc>
          <w:tcPr>
            <w:tcW w:w="1080" w:type="dxa"/>
            <w:vMerge/>
          </w:tcPr>
          <w:p w14:paraId="5A5A294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4FEDF39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76A6B22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1.1.4</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Sigurimi i miratim</w:t>
            </w:r>
            <w:r w:rsidR="008726FE" w:rsidRPr="00011E0A">
              <w:rPr>
                <w:rFonts w:ascii="Times New Roman" w:eastAsia="Calibri" w:hAnsi="Times New Roman" w:cs="Times New Roman"/>
                <w:sz w:val="20"/>
                <w:szCs w:val="20"/>
              </w:rPr>
              <w:t>i</w:t>
            </w:r>
            <w:r w:rsidRPr="00011E0A">
              <w:rPr>
                <w:rFonts w:ascii="Times New Roman" w:eastAsia="Calibri" w:hAnsi="Times New Roman" w:cs="Times New Roman"/>
                <w:sz w:val="20"/>
                <w:szCs w:val="20"/>
              </w:rPr>
              <w:t xml:space="preserve">t nga Qeveria  </w:t>
            </w:r>
          </w:p>
        </w:tc>
        <w:tc>
          <w:tcPr>
            <w:tcW w:w="882" w:type="dxa"/>
          </w:tcPr>
          <w:p w14:paraId="740E961A" w14:textId="4CBCE534"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6EA16C5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41C61A0D"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67E23378"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6BDD7F1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2B62C41F" w14:textId="77777777" w:rsidR="007755F8" w:rsidRPr="00011E0A" w:rsidRDefault="007755F8" w:rsidP="007755F8">
            <w:pPr>
              <w:spacing w:after="160" w:line="259" w:lineRule="auto"/>
              <w:rPr>
                <w:rFonts w:ascii="Times New Roman" w:eastAsia="Calibri" w:hAnsi="Times New Roman" w:cs="Times New Roman"/>
                <w:sz w:val="20"/>
                <w:szCs w:val="20"/>
              </w:rPr>
            </w:pPr>
          </w:p>
          <w:p w14:paraId="070A967B"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Qeveria</w:t>
            </w:r>
          </w:p>
        </w:tc>
        <w:tc>
          <w:tcPr>
            <w:tcW w:w="900" w:type="dxa"/>
          </w:tcPr>
          <w:p w14:paraId="3C3BAF85"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65B0C67C" w14:textId="77777777" w:rsidTr="005B54DA">
        <w:trPr>
          <w:trHeight w:val="890"/>
        </w:trPr>
        <w:tc>
          <w:tcPr>
            <w:tcW w:w="1080" w:type="dxa"/>
            <w:vMerge/>
          </w:tcPr>
          <w:p w14:paraId="3FDD5DA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2A5E9DF8"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ADF05D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1.1.5</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Sigurimi i miratimit nga Parlamenti</w:t>
            </w:r>
          </w:p>
        </w:tc>
        <w:tc>
          <w:tcPr>
            <w:tcW w:w="882" w:type="dxa"/>
          </w:tcPr>
          <w:p w14:paraId="28EEEAC9" w14:textId="682A344C"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70B1DBE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724E710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46521AD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56DC7E1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63DE76AC"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 </w:t>
            </w:r>
            <w:r w:rsidR="008726FE" w:rsidRPr="00011E0A">
              <w:rPr>
                <w:rFonts w:ascii="Times New Roman" w:eastAsia="Calibri" w:hAnsi="Times New Roman" w:cs="Times New Roman"/>
                <w:sz w:val="20"/>
                <w:szCs w:val="20"/>
              </w:rPr>
              <w:t>Qeveria</w:t>
            </w:r>
          </w:p>
          <w:p w14:paraId="687B8C68"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Kuvendi</w:t>
            </w:r>
          </w:p>
        </w:tc>
        <w:tc>
          <w:tcPr>
            <w:tcW w:w="900" w:type="dxa"/>
          </w:tcPr>
          <w:p w14:paraId="66C66F82"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08FC5EF5" w14:textId="77777777" w:rsidTr="005B54DA">
        <w:trPr>
          <w:trHeight w:val="1358"/>
        </w:trPr>
        <w:tc>
          <w:tcPr>
            <w:tcW w:w="1080" w:type="dxa"/>
            <w:vMerge/>
          </w:tcPr>
          <w:p w14:paraId="49BB715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36F7FED5"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2F7FE4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Aktiviteti </w:t>
            </w:r>
            <w:r w:rsidR="00E13795" w:rsidRPr="00011E0A">
              <w:rPr>
                <w:rFonts w:ascii="Times New Roman" w:eastAsia="Calibri" w:hAnsi="Times New Roman" w:cs="Times New Roman"/>
                <w:b/>
                <w:sz w:val="20"/>
                <w:szCs w:val="20"/>
              </w:rPr>
              <w:t xml:space="preserve">1.1.6 </w:t>
            </w:r>
            <w:r w:rsidRPr="00011E0A">
              <w:rPr>
                <w:rFonts w:ascii="Times New Roman" w:eastAsia="Calibri" w:hAnsi="Times New Roman" w:cs="Times New Roman"/>
                <w:sz w:val="20"/>
                <w:szCs w:val="20"/>
              </w:rPr>
              <w:t xml:space="preserve">Sigurimi i resurseve njerëzore dhe financiare për zbatimin e ligjit </w:t>
            </w:r>
          </w:p>
        </w:tc>
        <w:tc>
          <w:tcPr>
            <w:tcW w:w="882" w:type="dxa"/>
          </w:tcPr>
          <w:p w14:paraId="5EE1EB63" w14:textId="6B5A0E52"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1C1024C3" w14:textId="4874285D"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325F009E" w14:textId="42402315"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01A77496" w14:textId="70284ADA"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91" w:type="dxa"/>
          </w:tcPr>
          <w:p w14:paraId="1030410A" w14:textId="0B8C24A6" w:rsidR="007755F8" w:rsidRPr="00011E0A" w:rsidRDefault="00E32856"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341" w:type="dxa"/>
          </w:tcPr>
          <w:p w14:paraId="263BC5FF"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5E2790CD"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MF</w:t>
            </w:r>
          </w:p>
        </w:tc>
        <w:tc>
          <w:tcPr>
            <w:tcW w:w="900" w:type="dxa"/>
          </w:tcPr>
          <w:p w14:paraId="2EEB03C5" w14:textId="31AC4075" w:rsidR="007755F8" w:rsidRPr="00011E0A" w:rsidRDefault="0013308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7</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170</w:t>
            </w:r>
            <w:r w:rsidR="00A42903">
              <w:rPr>
                <w:rFonts w:ascii="Times New Roman" w:eastAsia="Calibri" w:hAnsi="Times New Roman" w:cs="Times New Roman"/>
                <w:sz w:val="20"/>
                <w:szCs w:val="20"/>
              </w:rPr>
              <w:t xml:space="preserve"> € </w:t>
            </w:r>
            <w:r w:rsidR="000153DE" w:rsidRPr="00011E0A">
              <w:rPr>
                <w:rFonts w:ascii="Times New Roman" w:eastAsia="Calibri" w:hAnsi="Times New Roman" w:cs="Times New Roman"/>
                <w:sz w:val="20"/>
                <w:szCs w:val="20"/>
              </w:rPr>
              <w:t>X12</w:t>
            </w:r>
            <w:r w:rsidR="0088592D" w:rsidRPr="00011E0A">
              <w:rPr>
                <w:rFonts w:ascii="Times New Roman" w:eastAsia="Calibri" w:hAnsi="Times New Roman" w:cs="Times New Roman"/>
                <w:sz w:val="20"/>
                <w:szCs w:val="20"/>
              </w:rPr>
              <w:t>muaj X5vite</w:t>
            </w:r>
            <w:r w:rsidR="000153DE" w:rsidRPr="00011E0A">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w:t>
            </w:r>
          </w:p>
        </w:tc>
      </w:tr>
      <w:tr w:rsidR="00E13795" w:rsidRPr="00011E0A" w14:paraId="4016C2EF" w14:textId="77777777" w:rsidTr="005B54DA">
        <w:trPr>
          <w:trHeight w:val="1034"/>
        </w:trPr>
        <w:tc>
          <w:tcPr>
            <w:tcW w:w="1080" w:type="dxa"/>
            <w:vMerge/>
          </w:tcPr>
          <w:p w14:paraId="54D38DE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52F8D4C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2F06BC2B"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1.1.7</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Informimi palëve të interesit mbi ligjin e ri</w:t>
            </w:r>
            <w:r w:rsidR="00E13795" w:rsidRPr="00011E0A">
              <w:rPr>
                <w:rFonts w:ascii="Times New Roman" w:eastAsia="Calibri" w:hAnsi="Times New Roman" w:cs="Times New Roman"/>
                <w:sz w:val="20"/>
                <w:szCs w:val="20"/>
              </w:rPr>
              <w:t>.</w:t>
            </w:r>
          </w:p>
        </w:tc>
        <w:tc>
          <w:tcPr>
            <w:tcW w:w="882" w:type="dxa"/>
          </w:tcPr>
          <w:p w14:paraId="306D7F1C" w14:textId="383F5DDB" w:rsidR="007755F8" w:rsidRPr="00011E0A" w:rsidRDefault="00155349"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73B22591" w14:textId="28E94C68" w:rsidR="007755F8" w:rsidRPr="00011E0A" w:rsidRDefault="00155349" w:rsidP="007755F8">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882" w:type="dxa"/>
          </w:tcPr>
          <w:p w14:paraId="1458280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15058F02"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114C051D"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2C6CE4A8"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MTI </w:t>
            </w:r>
          </w:p>
          <w:p w14:paraId="688CC091"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7AC47C13"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Me donacion</w:t>
            </w:r>
          </w:p>
          <w:p w14:paraId="5ED8D957" w14:textId="38319DB3" w:rsidR="000153DE"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6</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p>
        </w:tc>
      </w:tr>
      <w:tr w:rsidR="00E13795" w:rsidRPr="00011E0A" w14:paraId="5E7AD801" w14:textId="77777777" w:rsidTr="00D0483F">
        <w:trPr>
          <w:trHeight w:val="449"/>
        </w:trPr>
        <w:tc>
          <w:tcPr>
            <w:tcW w:w="1080" w:type="dxa"/>
            <w:vMerge/>
          </w:tcPr>
          <w:p w14:paraId="44412CF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val="restart"/>
          </w:tcPr>
          <w:p w14:paraId="13677114" w14:textId="72F3E2A0" w:rsidR="007755F8" w:rsidRPr="00011E0A" w:rsidRDefault="00B22DB1" w:rsidP="00B760C4">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Produkti</w:t>
            </w:r>
            <w:r w:rsidR="007755F8" w:rsidRPr="00011E0A">
              <w:rPr>
                <w:rFonts w:ascii="Times New Roman" w:eastAsia="Calibri" w:hAnsi="Times New Roman" w:cs="Times New Roman"/>
                <w:b/>
                <w:sz w:val="20"/>
                <w:szCs w:val="20"/>
              </w:rPr>
              <w:t xml:space="preserve"> 1.2</w:t>
            </w:r>
            <w:r w:rsidR="00E13795" w:rsidRPr="00011E0A">
              <w:rPr>
                <w:rFonts w:ascii="Times New Roman" w:eastAsia="Calibri" w:hAnsi="Times New Roman" w:cs="Times New Roman"/>
                <w:b/>
                <w:sz w:val="20"/>
                <w:szCs w:val="20"/>
              </w:rPr>
              <w:t xml:space="preserve"> </w:t>
            </w:r>
          </w:p>
        </w:tc>
        <w:tc>
          <w:tcPr>
            <w:tcW w:w="7740" w:type="dxa"/>
            <w:gridSpan w:val="7"/>
          </w:tcPr>
          <w:p w14:paraId="0269C238" w14:textId="64281F1D" w:rsidR="007755F8" w:rsidRPr="00011E0A" w:rsidRDefault="00B760C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Aktet nënligjore të nxjerra (miratuara)</w:t>
            </w:r>
          </w:p>
          <w:p w14:paraId="2E4C896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900" w:type="dxa"/>
          </w:tcPr>
          <w:p w14:paraId="49410573"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29085152" w14:textId="77777777" w:rsidTr="005B54DA">
        <w:tc>
          <w:tcPr>
            <w:tcW w:w="1080" w:type="dxa"/>
            <w:vMerge/>
          </w:tcPr>
          <w:p w14:paraId="29BD864A"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66D59C3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2BD8152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1BB01ABD"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4DFE8686"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tc>
        <w:tc>
          <w:tcPr>
            <w:tcW w:w="882" w:type="dxa"/>
          </w:tcPr>
          <w:p w14:paraId="387B8F8F"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773F225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tc>
        <w:tc>
          <w:tcPr>
            <w:tcW w:w="891" w:type="dxa"/>
          </w:tcPr>
          <w:p w14:paraId="4C161337"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tc>
        <w:tc>
          <w:tcPr>
            <w:tcW w:w="1341" w:type="dxa"/>
          </w:tcPr>
          <w:p w14:paraId="05EBFF2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 /departamenti përgjegjës</w:t>
            </w:r>
          </w:p>
        </w:tc>
        <w:tc>
          <w:tcPr>
            <w:tcW w:w="900" w:type="dxa"/>
          </w:tcPr>
          <w:p w14:paraId="49A70F71"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588ED9F6" w14:textId="77777777" w:rsidTr="005B54DA">
        <w:trPr>
          <w:trHeight w:val="773"/>
        </w:trPr>
        <w:tc>
          <w:tcPr>
            <w:tcW w:w="1080" w:type="dxa"/>
            <w:vMerge/>
          </w:tcPr>
          <w:p w14:paraId="3F24868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7749339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4E4E210B"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1.2.1</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Hartimi i akteve nënligjore</w:t>
            </w:r>
          </w:p>
        </w:tc>
        <w:tc>
          <w:tcPr>
            <w:tcW w:w="882" w:type="dxa"/>
          </w:tcPr>
          <w:p w14:paraId="26568B8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61335611"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979A179"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A344386"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620F37BB"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7CD9E8C8"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4EC4376B" w14:textId="627BA3A8" w:rsidR="007755F8" w:rsidRPr="00011E0A" w:rsidRDefault="000153DE" w:rsidP="000153DE">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3</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0088592D" w:rsidRPr="00011E0A">
              <w:rPr>
                <w:rFonts w:ascii="Times New Roman" w:eastAsia="Calibri" w:hAnsi="Times New Roman" w:cs="Times New Roman"/>
                <w:sz w:val="20"/>
                <w:szCs w:val="20"/>
              </w:rPr>
              <w:t xml:space="preserve"> X4vite</w:t>
            </w:r>
          </w:p>
        </w:tc>
      </w:tr>
      <w:tr w:rsidR="00E13795" w:rsidRPr="00011E0A" w14:paraId="6A576E05" w14:textId="77777777" w:rsidTr="005B54DA">
        <w:trPr>
          <w:trHeight w:val="764"/>
        </w:trPr>
        <w:tc>
          <w:tcPr>
            <w:tcW w:w="1080" w:type="dxa"/>
            <w:vMerge/>
          </w:tcPr>
          <w:p w14:paraId="7B4CA74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46B9503D"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4E481617"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1.2.2</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Miratimi i akteve nënligjore</w:t>
            </w:r>
          </w:p>
        </w:tc>
        <w:tc>
          <w:tcPr>
            <w:tcW w:w="882" w:type="dxa"/>
          </w:tcPr>
          <w:p w14:paraId="3E8459B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76723710"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6B75780"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2A4988D"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4F7D24E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0EFD76EE"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2CC8471A"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Qeveria</w:t>
            </w:r>
          </w:p>
        </w:tc>
        <w:tc>
          <w:tcPr>
            <w:tcW w:w="900" w:type="dxa"/>
          </w:tcPr>
          <w:p w14:paraId="1A5C8498" w14:textId="77777777" w:rsidR="007755F8" w:rsidRPr="00011E0A" w:rsidRDefault="000153D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0463CD3A" w14:textId="77777777" w:rsidTr="005B54DA">
        <w:trPr>
          <w:trHeight w:val="836"/>
        </w:trPr>
        <w:tc>
          <w:tcPr>
            <w:tcW w:w="1080" w:type="dxa"/>
            <w:vMerge/>
          </w:tcPr>
          <w:p w14:paraId="3724958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1188279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2F64A34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1.2.3</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Zbatimi i akteve nënligjore</w:t>
            </w:r>
          </w:p>
        </w:tc>
        <w:tc>
          <w:tcPr>
            <w:tcW w:w="882" w:type="dxa"/>
          </w:tcPr>
          <w:p w14:paraId="42D7B9B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68FBCDA2"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F0CB63E"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5B81BB3" w14:textId="77777777" w:rsidR="007755F8" w:rsidRPr="00011E0A" w:rsidRDefault="0049054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430B7E30"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2AF4E150"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0F7486CB" w14:textId="3C4256BF" w:rsidR="007755F8" w:rsidRPr="00011E0A" w:rsidRDefault="0088592D"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4</w:t>
            </w:r>
            <w:r w:rsidR="00A42903">
              <w:rPr>
                <w:rFonts w:ascii="Times New Roman" w:eastAsia="Calibri" w:hAnsi="Times New Roman" w:cs="Times New Roman"/>
                <w:sz w:val="20"/>
                <w:szCs w:val="20"/>
              </w:rPr>
              <w:t>,</w:t>
            </w:r>
            <w:r w:rsidR="00623D59"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X4vite</w:t>
            </w:r>
          </w:p>
        </w:tc>
      </w:tr>
      <w:tr w:rsidR="00E13795" w:rsidRPr="00011E0A" w14:paraId="3AED62F6" w14:textId="77777777" w:rsidTr="00D0483F">
        <w:trPr>
          <w:trHeight w:val="234"/>
        </w:trPr>
        <w:tc>
          <w:tcPr>
            <w:tcW w:w="1080" w:type="dxa"/>
            <w:vMerge w:val="restart"/>
          </w:tcPr>
          <w:p w14:paraId="03C4D562"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Objektivi </w:t>
            </w:r>
            <w:r w:rsidRPr="00011E0A">
              <w:rPr>
                <w:rFonts w:ascii="Times New Roman" w:eastAsia="Calibri" w:hAnsi="Times New Roman" w:cs="Times New Roman"/>
                <w:b/>
                <w:sz w:val="20"/>
                <w:szCs w:val="20"/>
              </w:rPr>
              <w:lastRenderedPageBreak/>
              <w:t>Specifik 2</w:t>
            </w:r>
          </w:p>
          <w:p w14:paraId="313AC3A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val="restart"/>
          </w:tcPr>
          <w:p w14:paraId="366FC5B7" w14:textId="77777777" w:rsidR="007755F8" w:rsidRPr="00011E0A" w:rsidRDefault="007755F8" w:rsidP="007755F8">
            <w:pPr>
              <w:spacing w:after="160" w:line="259" w:lineRule="auto"/>
              <w:rPr>
                <w:rFonts w:ascii="Times New Roman" w:eastAsia="Calibri" w:hAnsi="Times New Roman" w:cs="Times New Roman"/>
                <w:sz w:val="20"/>
                <w:szCs w:val="20"/>
              </w:rPr>
            </w:pPr>
          </w:p>
          <w:p w14:paraId="7900C93B" w14:textId="114A093E" w:rsidR="007755F8" w:rsidRPr="00011E0A" w:rsidRDefault="00B22DB1" w:rsidP="00B22DB1">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lastRenderedPageBreak/>
              <w:t>Produkti</w:t>
            </w:r>
            <w:r w:rsidR="007755F8" w:rsidRPr="00011E0A">
              <w:rPr>
                <w:rFonts w:ascii="Times New Roman" w:eastAsia="Calibri" w:hAnsi="Times New Roman" w:cs="Times New Roman"/>
                <w:b/>
                <w:sz w:val="20"/>
                <w:szCs w:val="20"/>
              </w:rPr>
              <w:t xml:space="preserve"> 2.1</w:t>
            </w:r>
            <w:r w:rsidR="00E13795" w:rsidRPr="00011E0A">
              <w:rPr>
                <w:rFonts w:ascii="Times New Roman" w:eastAsia="Calibri" w:hAnsi="Times New Roman" w:cs="Times New Roman"/>
                <w:b/>
                <w:sz w:val="20"/>
                <w:szCs w:val="20"/>
              </w:rPr>
              <w:t xml:space="preserve"> </w:t>
            </w:r>
            <w:r w:rsidR="007755F8" w:rsidRPr="00011E0A">
              <w:rPr>
                <w:rFonts w:ascii="Times New Roman" w:eastAsia="Calibri" w:hAnsi="Times New Roman" w:cs="Times New Roman"/>
                <w:sz w:val="20"/>
                <w:szCs w:val="20"/>
              </w:rPr>
              <w:t>Fuqizimi i procedurave  të brendshme në AKK për realizimin e hetimeve</w:t>
            </w:r>
          </w:p>
        </w:tc>
        <w:tc>
          <w:tcPr>
            <w:tcW w:w="8640" w:type="dxa"/>
            <w:gridSpan w:val="8"/>
          </w:tcPr>
          <w:p w14:paraId="2E34CEC7"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1740D69B" w14:textId="77777777" w:rsidTr="005B54DA">
        <w:trPr>
          <w:trHeight w:val="1135"/>
        </w:trPr>
        <w:tc>
          <w:tcPr>
            <w:tcW w:w="1080" w:type="dxa"/>
            <w:vMerge/>
          </w:tcPr>
          <w:p w14:paraId="3FFA59D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0254C10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87F01E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0B7940F6"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45BDC465"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tc>
        <w:tc>
          <w:tcPr>
            <w:tcW w:w="882" w:type="dxa"/>
          </w:tcPr>
          <w:p w14:paraId="1C2439A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34C38764"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tc>
        <w:tc>
          <w:tcPr>
            <w:tcW w:w="891" w:type="dxa"/>
          </w:tcPr>
          <w:p w14:paraId="4C2DE01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tc>
        <w:tc>
          <w:tcPr>
            <w:tcW w:w="1341" w:type="dxa"/>
          </w:tcPr>
          <w:p w14:paraId="16FBC21B"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Institucioni/Departamenti përgjegjës</w:t>
            </w:r>
          </w:p>
        </w:tc>
        <w:tc>
          <w:tcPr>
            <w:tcW w:w="900" w:type="dxa"/>
          </w:tcPr>
          <w:p w14:paraId="53524C2A"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506EC4CD" w14:textId="77777777" w:rsidTr="005B54DA">
        <w:trPr>
          <w:trHeight w:val="1241"/>
        </w:trPr>
        <w:tc>
          <w:tcPr>
            <w:tcW w:w="1080" w:type="dxa"/>
            <w:vMerge/>
          </w:tcPr>
          <w:p w14:paraId="2D75A8A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15D3552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7757348"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b/>
                <w:sz w:val="20"/>
                <w:szCs w:val="20"/>
              </w:rPr>
              <w:t>2.1.1</w:t>
            </w:r>
            <w:r w:rsidRPr="00011E0A">
              <w:rPr>
                <w:rFonts w:ascii="Times New Roman" w:eastAsia="Calibri" w:hAnsi="Times New Roman" w:cs="Times New Roman"/>
                <w:sz w:val="20"/>
                <w:szCs w:val="20"/>
              </w:rPr>
              <w:t xml:space="preserve">Nxjerrja e Rregulloreve të brendshme në harmoni me ligjin e ri </w:t>
            </w:r>
          </w:p>
        </w:tc>
        <w:tc>
          <w:tcPr>
            <w:tcW w:w="882" w:type="dxa"/>
          </w:tcPr>
          <w:p w14:paraId="1FD4760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34C0174C"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84AA004"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71E99862"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2987ED20" w14:textId="77777777" w:rsidR="007755F8" w:rsidRPr="00011E0A" w:rsidRDefault="008726F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5EA0B279"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55EBC198" w14:textId="5806BABF" w:rsidR="007755F8" w:rsidRPr="00011E0A" w:rsidRDefault="00623D59" w:rsidP="0088592D">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3</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0088592D" w:rsidRPr="00011E0A">
              <w:rPr>
                <w:rFonts w:ascii="Times New Roman" w:eastAsia="Calibri" w:hAnsi="Times New Roman" w:cs="Times New Roman"/>
                <w:sz w:val="20"/>
                <w:szCs w:val="20"/>
              </w:rPr>
              <w:t xml:space="preserve"> X4vite</w:t>
            </w:r>
          </w:p>
        </w:tc>
      </w:tr>
      <w:tr w:rsidR="00E13795" w:rsidRPr="00011E0A" w14:paraId="5F213927" w14:textId="77777777" w:rsidTr="00D0483F">
        <w:trPr>
          <w:trHeight w:val="890"/>
        </w:trPr>
        <w:tc>
          <w:tcPr>
            <w:tcW w:w="1080" w:type="dxa"/>
            <w:vMerge w:val="restart"/>
          </w:tcPr>
          <w:p w14:paraId="4480CB7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val="restart"/>
          </w:tcPr>
          <w:p w14:paraId="1C0B13D0" w14:textId="60513F67" w:rsidR="007755F8" w:rsidRPr="00011E0A" w:rsidRDefault="00B22DB1" w:rsidP="00B22DB1">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Produkti</w:t>
            </w:r>
            <w:r w:rsidR="007755F8" w:rsidRPr="00011E0A">
              <w:rPr>
                <w:rFonts w:ascii="Times New Roman" w:eastAsia="Calibri" w:hAnsi="Times New Roman" w:cs="Times New Roman"/>
                <w:b/>
                <w:sz w:val="20"/>
                <w:szCs w:val="20"/>
              </w:rPr>
              <w:t xml:space="preserve"> 2.2</w:t>
            </w:r>
            <w:r w:rsidR="00E13795" w:rsidRPr="00011E0A">
              <w:rPr>
                <w:rFonts w:ascii="Times New Roman" w:eastAsia="Calibri" w:hAnsi="Times New Roman" w:cs="Times New Roman"/>
                <w:b/>
                <w:sz w:val="20"/>
                <w:szCs w:val="20"/>
              </w:rPr>
              <w:t xml:space="preserve"> </w:t>
            </w:r>
            <w:r w:rsidR="007755F8" w:rsidRPr="00011E0A">
              <w:rPr>
                <w:rFonts w:ascii="Times New Roman" w:eastAsia="Calibri" w:hAnsi="Times New Roman" w:cs="Times New Roman"/>
                <w:sz w:val="20"/>
                <w:szCs w:val="20"/>
              </w:rPr>
              <w:t>Fuqizimi i kapaciteteve të brendshme në AKK për realizimin e hetimeve</w:t>
            </w:r>
          </w:p>
        </w:tc>
        <w:tc>
          <w:tcPr>
            <w:tcW w:w="8640" w:type="dxa"/>
            <w:gridSpan w:val="8"/>
          </w:tcPr>
          <w:p w14:paraId="7003DC24"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0BAE2E58" w14:textId="77777777" w:rsidTr="005B54DA">
        <w:trPr>
          <w:trHeight w:val="480"/>
        </w:trPr>
        <w:tc>
          <w:tcPr>
            <w:tcW w:w="1080" w:type="dxa"/>
            <w:vMerge/>
          </w:tcPr>
          <w:p w14:paraId="189A728C"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7829357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5FF59A9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6C390DF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63D8A406"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tc>
        <w:tc>
          <w:tcPr>
            <w:tcW w:w="882" w:type="dxa"/>
          </w:tcPr>
          <w:p w14:paraId="0919737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30705F2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Viti 4 </w:t>
            </w:r>
          </w:p>
        </w:tc>
        <w:tc>
          <w:tcPr>
            <w:tcW w:w="891" w:type="dxa"/>
          </w:tcPr>
          <w:p w14:paraId="61FFEFE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tc>
        <w:tc>
          <w:tcPr>
            <w:tcW w:w="1341" w:type="dxa"/>
          </w:tcPr>
          <w:p w14:paraId="32A25CD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Institucioni/Departamenti përgjegjës</w:t>
            </w:r>
          </w:p>
        </w:tc>
        <w:tc>
          <w:tcPr>
            <w:tcW w:w="900" w:type="dxa"/>
          </w:tcPr>
          <w:p w14:paraId="19D140C3"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57B8F71E" w14:textId="77777777" w:rsidTr="005B54DA">
        <w:trPr>
          <w:trHeight w:val="872"/>
        </w:trPr>
        <w:tc>
          <w:tcPr>
            <w:tcW w:w="1080" w:type="dxa"/>
            <w:vMerge/>
          </w:tcPr>
          <w:p w14:paraId="34348D9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5F295085"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4F02D6A8" w14:textId="77777777" w:rsidR="00E13795" w:rsidRPr="00011E0A" w:rsidRDefault="007755F8" w:rsidP="00E13795">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Aktiviteti </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b/>
                <w:sz w:val="20"/>
                <w:szCs w:val="20"/>
              </w:rPr>
              <w:t xml:space="preserve">2.2.1 </w:t>
            </w:r>
            <w:r w:rsidRPr="00011E0A">
              <w:rPr>
                <w:rFonts w:ascii="Times New Roman" w:eastAsia="Calibri" w:hAnsi="Times New Roman" w:cs="Times New Roman"/>
                <w:sz w:val="20"/>
                <w:szCs w:val="20"/>
              </w:rPr>
              <w:t>Rekrutimi zyrtarëve të rinj</w:t>
            </w:r>
          </w:p>
          <w:p w14:paraId="3AF1CACA" w14:textId="77777777" w:rsidR="007755F8" w:rsidRPr="00011E0A" w:rsidRDefault="007755F8" w:rsidP="00D0483F">
            <w:pPr>
              <w:rPr>
                <w:rFonts w:ascii="Times New Roman" w:eastAsia="Calibri" w:hAnsi="Times New Roman" w:cs="Times New Roman"/>
                <w:sz w:val="20"/>
                <w:szCs w:val="20"/>
              </w:rPr>
            </w:pPr>
          </w:p>
        </w:tc>
        <w:tc>
          <w:tcPr>
            <w:tcW w:w="882" w:type="dxa"/>
          </w:tcPr>
          <w:p w14:paraId="68FD8677"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611C7053"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B0E0BFA"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4EE37E9"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41E3A110"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54A6BE39"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1BDC81A0" w14:textId="77777777" w:rsidR="00F2305E"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MF</w:t>
            </w:r>
          </w:p>
        </w:tc>
        <w:tc>
          <w:tcPr>
            <w:tcW w:w="900" w:type="dxa"/>
          </w:tcPr>
          <w:p w14:paraId="7565A6B2" w14:textId="153717AB" w:rsidR="007755F8" w:rsidRPr="00011E0A" w:rsidRDefault="0013308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32</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160</w:t>
            </w:r>
            <w:r w:rsidR="00A42903">
              <w:rPr>
                <w:rFonts w:ascii="Times New Roman" w:eastAsia="Calibri" w:hAnsi="Times New Roman" w:cs="Times New Roman"/>
                <w:sz w:val="20"/>
                <w:szCs w:val="20"/>
              </w:rPr>
              <w:t xml:space="preserve"> € </w:t>
            </w:r>
            <w:r w:rsidR="00623D59" w:rsidRPr="00011E0A">
              <w:rPr>
                <w:rFonts w:ascii="Times New Roman" w:eastAsia="Calibri" w:hAnsi="Times New Roman" w:cs="Times New Roman"/>
                <w:sz w:val="20"/>
                <w:szCs w:val="20"/>
              </w:rPr>
              <w:t>X5vite</w:t>
            </w:r>
          </w:p>
        </w:tc>
      </w:tr>
      <w:tr w:rsidR="00E13795" w:rsidRPr="00011E0A" w14:paraId="08617CB7" w14:textId="77777777" w:rsidTr="005B54DA">
        <w:trPr>
          <w:trHeight w:val="710"/>
        </w:trPr>
        <w:tc>
          <w:tcPr>
            <w:tcW w:w="1080" w:type="dxa"/>
            <w:vMerge/>
          </w:tcPr>
          <w:p w14:paraId="6DED2EDC"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3F2B9C8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72051B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2.2.2</w:t>
            </w:r>
            <w:r w:rsidRPr="00011E0A">
              <w:rPr>
                <w:rFonts w:ascii="Times New Roman" w:eastAsia="Calibri" w:hAnsi="Times New Roman" w:cs="Times New Roman"/>
                <w:sz w:val="20"/>
                <w:szCs w:val="20"/>
              </w:rPr>
              <w:br/>
              <w:t>Trajnimi i zyrtarëve të AKK-së mbi praktikat e BE-së në fushën e konkurrencës dhe zbatimit të saj përmes trajnimeve, punëtorive, vizitave studimore</w:t>
            </w:r>
          </w:p>
        </w:tc>
        <w:tc>
          <w:tcPr>
            <w:tcW w:w="882" w:type="dxa"/>
          </w:tcPr>
          <w:p w14:paraId="7DEAAFB1"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F630294"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466A330"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708F1D7C"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3D6B0EF7" w14:textId="77777777" w:rsidR="007755F8" w:rsidRPr="00011E0A" w:rsidRDefault="00F2305E"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4F29E961"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Donatorë</w:t>
            </w:r>
          </w:p>
          <w:p w14:paraId="15EB0B4D"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751D5360" w14:textId="27FA2EE2" w:rsidR="00F2305E" w:rsidRPr="00011E0A" w:rsidRDefault="00F2305E" w:rsidP="007B3E00">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Institucionet </w:t>
            </w:r>
            <w:r w:rsidR="007B3E00" w:rsidRPr="00011E0A">
              <w:rPr>
                <w:rFonts w:ascii="Times New Roman" w:eastAsia="Calibri" w:hAnsi="Times New Roman" w:cs="Times New Roman"/>
                <w:sz w:val="20"/>
                <w:szCs w:val="20"/>
              </w:rPr>
              <w:t xml:space="preserve">dhe rrjetet </w:t>
            </w:r>
            <w:proofErr w:type="spellStart"/>
            <w:r w:rsidRPr="00011E0A">
              <w:rPr>
                <w:rFonts w:ascii="Times New Roman" w:eastAsia="Calibri" w:hAnsi="Times New Roman" w:cs="Times New Roman"/>
                <w:sz w:val="20"/>
                <w:szCs w:val="20"/>
              </w:rPr>
              <w:t>nderkombetar</w:t>
            </w:r>
            <w:r w:rsidR="007B3E00" w:rsidRPr="00011E0A">
              <w:rPr>
                <w:rFonts w:ascii="Times New Roman" w:eastAsia="Calibri" w:hAnsi="Times New Roman" w:cs="Times New Roman"/>
                <w:sz w:val="20"/>
                <w:szCs w:val="20"/>
              </w:rPr>
              <w:t>e</w:t>
            </w:r>
            <w:proofErr w:type="spellEnd"/>
            <w:r w:rsidR="008753CB" w:rsidRPr="00011E0A">
              <w:rPr>
                <w:rFonts w:ascii="Times New Roman" w:eastAsia="Calibri" w:hAnsi="Times New Roman" w:cs="Times New Roman"/>
                <w:sz w:val="20"/>
                <w:szCs w:val="20"/>
              </w:rPr>
              <w:t xml:space="preserve"> të </w:t>
            </w:r>
            <w:proofErr w:type="spellStart"/>
            <w:r w:rsidR="007B3E00" w:rsidRPr="00011E0A">
              <w:rPr>
                <w:rFonts w:ascii="Times New Roman" w:eastAsia="Calibri" w:hAnsi="Times New Roman" w:cs="Times New Roman"/>
                <w:sz w:val="20"/>
                <w:szCs w:val="20"/>
              </w:rPr>
              <w:t>konkurrences</w:t>
            </w:r>
            <w:proofErr w:type="spellEnd"/>
            <w:r w:rsidRPr="00011E0A">
              <w:rPr>
                <w:rFonts w:ascii="Times New Roman" w:eastAsia="Calibri" w:hAnsi="Times New Roman" w:cs="Times New Roman"/>
                <w:sz w:val="20"/>
                <w:szCs w:val="20"/>
              </w:rPr>
              <w:t xml:space="preserve"> </w:t>
            </w:r>
          </w:p>
        </w:tc>
        <w:tc>
          <w:tcPr>
            <w:tcW w:w="900" w:type="dxa"/>
          </w:tcPr>
          <w:p w14:paraId="011471E1" w14:textId="7D93AC45" w:rsidR="007755F8"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2</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760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X5vite</w:t>
            </w:r>
          </w:p>
        </w:tc>
      </w:tr>
      <w:tr w:rsidR="00E13795" w:rsidRPr="00011E0A" w14:paraId="3C8F6312" w14:textId="77777777" w:rsidTr="005B54DA">
        <w:trPr>
          <w:trHeight w:val="1493"/>
        </w:trPr>
        <w:tc>
          <w:tcPr>
            <w:tcW w:w="1080" w:type="dxa"/>
            <w:vMerge/>
          </w:tcPr>
          <w:p w14:paraId="1EFA1FE5"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7CA667F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16F094F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2.2.3</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 xml:space="preserve">Ngritja e nivelit të bashkëpunimit me </w:t>
            </w:r>
            <w:proofErr w:type="spellStart"/>
            <w:r w:rsidRPr="00011E0A">
              <w:rPr>
                <w:rFonts w:ascii="Times New Roman" w:eastAsia="Calibri" w:hAnsi="Times New Roman" w:cs="Times New Roman"/>
                <w:sz w:val="20"/>
                <w:szCs w:val="20"/>
              </w:rPr>
              <w:t>instucionet</w:t>
            </w:r>
            <w:proofErr w:type="spellEnd"/>
            <w:r w:rsidRPr="00011E0A">
              <w:rPr>
                <w:rFonts w:ascii="Times New Roman" w:eastAsia="Calibri" w:hAnsi="Times New Roman" w:cs="Times New Roman"/>
                <w:sz w:val="20"/>
                <w:szCs w:val="20"/>
              </w:rPr>
              <w:t xml:space="preserve"> relevante të BE-së dhe shteteve anëtare</w:t>
            </w:r>
          </w:p>
          <w:p w14:paraId="26908CFF" w14:textId="77777777" w:rsidR="007755F8" w:rsidRPr="00011E0A" w:rsidRDefault="007755F8" w:rsidP="007755F8">
            <w:pPr>
              <w:spacing w:after="160" w:line="259" w:lineRule="auto"/>
              <w:rPr>
                <w:rFonts w:ascii="Times New Roman" w:eastAsia="Calibri" w:hAnsi="Times New Roman" w:cs="Times New Roman"/>
                <w:sz w:val="20"/>
                <w:szCs w:val="20"/>
                <w:lang w:val="en-US"/>
              </w:rPr>
            </w:pPr>
          </w:p>
          <w:p w14:paraId="127DD95F" w14:textId="77777777" w:rsidR="007755F8" w:rsidRPr="00011E0A" w:rsidRDefault="007755F8" w:rsidP="007755F8">
            <w:pPr>
              <w:spacing w:after="160" w:line="259" w:lineRule="auto"/>
              <w:rPr>
                <w:rFonts w:ascii="Times New Roman" w:eastAsia="Calibri" w:hAnsi="Times New Roman" w:cs="Times New Roman"/>
                <w:sz w:val="20"/>
                <w:szCs w:val="20"/>
                <w:lang w:val="en-US"/>
              </w:rPr>
            </w:pPr>
          </w:p>
        </w:tc>
        <w:tc>
          <w:tcPr>
            <w:tcW w:w="882" w:type="dxa"/>
          </w:tcPr>
          <w:p w14:paraId="0108D6F9"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B2BD08B"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6AEC4647"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550F8AC"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0E60A119"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2C1101EB"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238352F0"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BE</w:t>
            </w:r>
          </w:p>
        </w:tc>
        <w:tc>
          <w:tcPr>
            <w:tcW w:w="900" w:type="dxa"/>
          </w:tcPr>
          <w:p w14:paraId="00118E5E" w14:textId="2544D944" w:rsidR="00623D59"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3</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X5vite</w:t>
            </w:r>
          </w:p>
        </w:tc>
      </w:tr>
      <w:tr w:rsidR="00E13795" w:rsidRPr="00011E0A" w14:paraId="1BD0BB66" w14:textId="77777777" w:rsidTr="00D0483F">
        <w:trPr>
          <w:trHeight w:val="330"/>
        </w:trPr>
        <w:tc>
          <w:tcPr>
            <w:tcW w:w="1080" w:type="dxa"/>
            <w:vMerge/>
          </w:tcPr>
          <w:p w14:paraId="63D888D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val="restart"/>
          </w:tcPr>
          <w:p w14:paraId="0506D61C" w14:textId="4ECC80DE" w:rsidR="007755F8" w:rsidRPr="00011E0A" w:rsidRDefault="00B22DB1" w:rsidP="00F125BD">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Produkti</w:t>
            </w:r>
            <w:r w:rsidR="007755F8" w:rsidRPr="00011E0A">
              <w:rPr>
                <w:rFonts w:ascii="Times New Roman" w:eastAsia="Calibri" w:hAnsi="Times New Roman" w:cs="Times New Roman"/>
                <w:b/>
                <w:sz w:val="20"/>
                <w:szCs w:val="20"/>
              </w:rPr>
              <w:t xml:space="preserve"> 2.3</w:t>
            </w:r>
            <w:r w:rsidR="00E13795" w:rsidRPr="00011E0A">
              <w:rPr>
                <w:rFonts w:ascii="Times New Roman" w:eastAsia="Calibri" w:hAnsi="Times New Roman" w:cs="Times New Roman"/>
                <w:b/>
                <w:sz w:val="20"/>
                <w:szCs w:val="20"/>
              </w:rPr>
              <w:t xml:space="preserve"> </w:t>
            </w:r>
            <w:r w:rsidR="00F125BD" w:rsidRPr="00011E0A">
              <w:rPr>
                <w:rFonts w:ascii="Times New Roman" w:eastAsia="Calibri" w:hAnsi="Times New Roman" w:cs="Times New Roman"/>
                <w:sz w:val="20"/>
                <w:szCs w:val="20"/>
              </w:rPr>
              <w:t xml:space="preserve">Rritja e numrit te </w:t>
            </w:r>
            <w:proofErr w:type="spellStart"/>
            <w:r w:rsidR="00F125BD" w:rsidRPr="00011E0A">
              <w:rPr>
                <w:rFonts w:ascii="Times New Roman" w:eastAsia="Calibri" w:hAnsi="Times New Roman" w:cs="Times New Roman"/>
                <w:sz w:val="20"/>
                <w:szCs w:val="20"/>
              </w:rPr>
              <w:t>gjygjtareve</w:t>
            </w:r>
            <w:proofErr w:type="spellEnd"/>
            <w:r w:rsidR="00F125BD" w:rsidRPr="00011E0A">
              <w:rPr>
                <w:rFonts w:ascii="Times New Roman" w:eastAsia="Calibri" w:hAnsi="Times New Roman" w:cs="Times New Roman"/>
                <w:sz w:val="20"/>
                <w:szCs w:val="20"/>
              </w:rPr>
              <w:t xml:space="preserve"> te trajnuar </w:t>
            </w:r>
            <w:r w:rsidR="007755F8" w:rsidRPr="00011E0A">
              <w:rPr>
                <w:rFonts w:ascii="Times New Roman" w:eastAsia="Calibri" w:hAnsi="Times New Roman" w:cs="Times New Roman"/>
                <w:sz w:val="20"/>
                <w:szCs w:val="20"/>
              </w:rPr>
              <w:t xml:space="preserve">mbi </w:t>
            </w:r>
            <w:r w:rsidR="007755F8" w:rsidRPr="00011E0A">
              <w:rPr>
                <w:rFonts w:ascii="Times New Roman" w:eastAsia="Calibri" w:hAnsi="Times New Roman" w:cs="Times New Roman"/>
                <w:sz w:val="20"/>
                <w:szCs w:val="20"/>
              </w:rPr>
              <w:lastRenderedPageBreak/>
              <w:t>ligjin e konkurrencës</w:t>
            </w:r>
          </w:p>
        </w:tc>
        <w:tc>
          <w:tcPr>
            <w:tcW w:w="8640" w:type="dxa"/>
            <w:gridSpan w:val="8"/>
          </w:tcPr>
          <w:p w14:paraId="7250AB83" w14:textId="5447D0F5" w:rsidR="007755F8" w:rsidRPr="00011E0A" w:rsidRDefault="00831708" w:rsidP="007755F8">
            <w:pPr>
              <w:spacing w:after="160" w:line="259" w:lineRule="auto"/>
              <w:rPr>
                <w:rFonts w:ascii="Times New Roman" w:eastAsia="Calibri" w:hAnsi="Times New Roman" w:cs="Times New Roman"/>
                <w:sz w:val="20"/>
                <w:szCs w:val="20"/>
              </w:rPr>
            </w:pPr>
            <w:proofErr w:type="spellStart"/>
            <w:r w:rsidRPr="00011E0A">
              <w:rPr>
                <w:rFonts w:ascii="Times New Roman" w:eastAsia="Calibri" w:hAnsi="Times New Roman" w:cs="Times New Roman"/>
                <w:sz w:val="20"/>
                <w:szCs w:val="20"/>
              </w:rPr>
              <w:lastRenderedPageBreak/>
              <w:t>Xx</w:t>
            </w:r>
            <w:proofErr w:type="spellEnd"/>
            <w:r w:rsidRPr="00011E0A">
              <w:rPr>
                <w:rFonts w:ascii="Times New Roman" w:eastAsia="Calibri" w:hAnsi="Times New Roman" w:cs="Times New Roman"/>
                <w:sz w:val="20"/>
                <w:szCs w:val="20"/>
              </w:rPr>
              <w:t xml:space="preserve"> gjyqtarë të trajnuar në lidhje me Ligjin e Konkurrencës</w:t>
            </w:r>
          </w:p>
        </w:tc>
      </w:tr>
      <w:tr w:rsidR="00E13795" w:rsidRPr="00011E0A" w14:paraId="679312B3" w14:textId="77777777" w:rsidTr="005B54DA">
        <w:trPr>
          <w:trHeight w:val="534"/>
        </w:trPr>
        <w:tc>
          <w:tcPr>
            <w:tcW w:w="1080" w:type="dxa"/>
            <w:vMerge/>
          </w:tcPr>
          <w:p w14:paraId="31B206C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15BBE302"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40072DB"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00431F1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2A0B8B0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tc>
        <w:tc>
          <w:tcPr>
            <w:tcW w:w="882" w:type="dxa"/>
          </w:tcPr>
          <w:p w14:paraId="17E203D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54BACF22"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tc>
        <w:tc>
          <w:tcPr>
            <w:tcW w:w="891" w:type="dxa"/>
          </w:tcPr>
          <w:p w14:paraId="1DA93EB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tc>
        <w:tc>
          <w:tcPr>
            <w:tcW w:w="1341" w:type="dxa"/>
          </w:tcPr>
          <w:p w14:paraId="00D8CE6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Institucioni/Departamenti përgjegjës</w:t>
            </w:r>
          </w:p>
        </w:tc>
        <w:tc>
          <w:tcPr>
            <w:tcW w:w="900" w:type="dxa"/>
          </w:tcPr>
          <w:p w14:paraId="1871FA11"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3CEA1E12" w14:textId="77777777" w:rsidTr="005B54DA">
        <w:trPr>
          <w:trHeight w:val="2546"/>
        </w:trPr>
        <w:tc>
          <w:tcPr>
            <w:tcW w:w="1080" w:type="dxa"/>
            <w:vMerge/>
          </w:tcPr>
          <w:p w14:paraId="10414F0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3481BA9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FDF7CFB"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2.3.1</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Trajnimi i gjyqtarëve  mbi praktikat e BE-së në fushën e konkurrencës dhe zbatimit të saj përmes trajnimeve, punëtorive, vizitave studimore</w:t>
            </w:r>
          </w:p>
          <w:p w14:paraId="6BCA9261" w14:textId="77777777" w:rsidR="007755F8" w:rsidRPr="00011E0A" w:rsidRDefault="007755F8" w:rsidP="007755F8">
            <w:pPr>
              <w:spacing w:after="160" w:line="259" w:lineRule="auto"/>
              <w:rPr>
                <w:rFonts w:ascii="Times New Roman" w:eastAsia="Calibri" w:hAnsi="Times New Roman" w:cs="Times New Roman"/>
                <w:sz w:val="20"/>
                <w:szCs w:val="20"/>
              </w:rPr>
            </w:pPr>
          </w:p>
          <w:p w14:paraId="555E9457" w14:textId="77777777" w:rsidR="007755F8" w:rsidRPr="00011E0A" w:rsidRDefault="007755F8" w:rsidP="007755F8">
            <w:pPr>
              <w:spacing w:after="160" w:line="259" w:lineRule="auto"/>
              <w:rPr>
                <w:rFonts w:ascii="Times New Roman" w:eastAsia="Calibri" w:hAnsi="Times New Roman" w:cs="Times New Roman"/>
                <w:sz w:val="20"/>
                <w:szCs w:val="20"/>
              </w:rPr>
            </w:pPr>
          </w:p>
          <w:p w14:paraId="286DA63F" w14:textId="77777777" w:rsidR="007755F8" w:rsidRPr="00011E0A" w:rsidRDefault="007755F8" w:rsidP="007755F8">
            <w:pPr>
              <w:spacing w:after="160" w:line="259" w:lineRule="auto"/>
              <w:rPr>
                <w:rFonts w:ascii="Times New Roman" w:eastAsia="Calibri" w:hAnsi="Times New Roman" w:cs="Times New Roman"/>
                <w:sz w:val="20"/>
                <w:szCs w:val="20"/>
              </w:rPr>
            </w:pPr>
          </w:p>
          <w:p w14:paraId="118F942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4C339121"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71538D94" w14:textId="77777777" w:rsidR="007755F8" w:rsidRPr="00011E0A" w:rsidRDefault="00AD4B54"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D6B6AD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0CEF831E"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5B85DFC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39E6B2E1"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Donatorë</w:t>
            </w:r>
          </w:p>
          <w:p w14:paraId="6269368E"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795ED719"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Gjykatat</w:t>
            </w:r>
          </w:p>
          <w:p w14:paraId="466EE167" w14:textId="77777777" w:rsidR="007755F8" w:rsidRPr="00011E0A" w:rsidRDefault="007755F8" w:rsidP="007755F8">
            <w:pPr>
              <w:spacing w:after="160" w:line="259" w:lineRule="auto"/>
              <w:rPr>
                <w:rFonts w:ascii="Times New Roman" w:eastAsia="Calibri" w:hAnsi="Times New Roman" w:cs="Times New Roman"/>
                <w:sz w:val="20"/>
                <w:szCs w:val="20"/>
              </w:rPr>
            </w:pPr>
          </w:p>
          <w:p w14:paraId="26CA080F"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900" w:type="dxa"/>
          </w:tcPr>
          <w:p w14:paraId="2FA3E08C" w14:textId="5D4FC577" w:rsidR="007755F8"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4</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X2vite</w:t>
            </w:r>
          </w:p>
        </w:tc>
      </w:tr>
      <w:tr w:rsidR="00E13795" w:rsidRPr="00011E0A" w14:paraId="3F59FF19" w14:textId="77777777" w:rsidTr="00D0483F">
        <w:trPr>
          <w:trHeight w:val="447"/>
        </w:trPr>
        <w:tc>
          <w:tcPr>
            <w:tcW w:w="1080" w:type="dxa"/>
            <w:vMerge w:val="restart"/>
          </w:tcPr>
          <w:p w14:paraId="7C906FC1" w14:textId="77777777" w:rsidR="007755F8" w:rsidRPr="00011E0A" w:rsidRDefault="007755F8" w:rsidP="007755F8">
            <w:pPr>
              <w:spacing w:after="160" w:line="259" w:lineRule="auto"/>
              <w:rPr>
                <w:rFonts w:ascii="Times New Roman" w:eastAsia="Calibri" w:hAnsi="Times New Roman" w:cs="Times New Roman"/>
                <w:sz w:val="20"/>
                <w:szCs w:val="20"/>
              </w:rPr>
            </w:pPr>
          </w:p>
          <w:p w14:paraId="62281946"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Objektivi specifik 3</w:t>
            </w:r>
          </w:p>
          <w:p w14:paraId="4C1C2970" w14:textId="0CBB21AD" w:rsidR="00831708" w:rsidRPr="00011E0A" w:rsidRDefault="0083170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Ngritja e vetëdijesimit të palëve të interesit</w:t>
            </w:r>
          </w:p>
        </w:tc>
        <w:tc>
          <w:tcPr>
            <w:tcW w:w="1350" w:type="dxa"/>
            <w:vMerge w:val="restart"/>
          </w:tcPr>
          <w:p w14:paraId="6F6E7DEF" w14:textId="77777777" w:rsidR="007755F8" w:rsidRPr="00011E0A" w:rsidRDefault="007755F8" w:rsidP="007755F8">
            <w:pPr>
              <w:spacing w:after="160" w:line="259" w:lineRule="auto"/>
              <w:rPr>
                <w:rFonts w:ascii="Times New Roman" w:eastAsia="Calibri" w:hAnsi="Times New Roman" w:cs="Times New Roman"/>
                <w:sz w:val="20"/>
                <w:szCs w:val="20"/>
              </w:rPr>
            </w:pPr>
          </w:p>
          <w:p w14:paraId="7CE22844" w14:textId="41574019" w:rsidR="007755F8" w:rsidRPr="00011E0A" w:rsidRDefault="00B22DB1" w:rsidP="0083170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Produkti</w:t>
            </w:r>
            <w:r w:rsidR="007755F8" w:rsidRPr="00011E0A">
              <w:rPr>
                <w:rFonts w:ascii="Times New Roman" w:eastAsia="Calibri" w:hAnsi="Times New Roman" w:cs="Times New Roman"/>
                <w:b/>
                <w:sz w:val="20"/>
                <w:szCs w:val="20"/>
              </w:rPr>
              <w:t xml:space="preserve"> 3.1</w:t>
            </w:r>
            <w:r w:rsidR="00E13795" w:rsidRPr="00011E0A">
              <w:rPr>
                <w:rFonts w:ascii="Times New Roman" w:eastAsia="Calibri" w:hAnsi="Times New Roman" w:cs="Times New Roman"/>
                <w:b/>
                <w:sz w:val="20"/>
                <w:szCs w:val="20"/>
              </w:rPr>
              <w:t xml:space="preserve"> </w:t>
            </w:r>
            <w:r w:rsidR="008753CB" w:rsidRPr="00011E0A">
              <w:rPr>
                <w:rFonts w:ascii="Times New Roman" w:eastAsia="Calibri" w:hAnsi="Times New Roman" w:cs="Times New Roman"/>
                <w:sz w:val="20"/>
                <w:szCs w:val="20"/>
              </w:rPr>
              <w:t xml:space="preserve"> të </w:t>
            </w:r>
          </w:p>
        </w:tc>
        <w:tc>
          <w:tcPr>
            <w:tcW w:w="8640" w:type="dxa"/>
            <w:gridSpan w:val="8"/>
          </w:tcPr>
          <w:p w14:paraId="0B2FAF05" w14:textId="5038544E" w:rsidR="007755F8" w:rsidRPr="00011E0A" w:rsidRDefault="006A6A3B"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Fushata informuese e </w:t>
            </w:r>
            <w:proofErr w:type="spellStart"/>
            <w:r w:rsidRPr="00011E0A">
              <w:rPr>
                <w:rFonts w:ascii="Times New Roman" w:eastAsia="Calibri" w:hAnsi="Times New Roman" w:cs="Times New Roman"/>
                <w:sz w:val="20"/>
                <w:szCs w:val="20"/>
              </w:rPr>
              <w:t>lans</w:t>
            </w:r>
            <w:r w:rsidR="000B1DCA" w:rsidRPr="00011E0A">
              <w:rPr>
                <w:rFonts w:ascii="Times New Roman" w:eastAsia="Calibri" w:hAnsi="Times New Roman" w:cs="Times New Roman"/>
                <w:sz w:val="20"/>
                <w:szCs w:val="20"/>
              </w:rPr>
              <w:t>uar</w:t>
            </w:r>
            <w:proofErr w:type="spellEnd"/>
          </w:p>
        </w:tc>
      </w:tr>
      <w:tr w:rsidR="00E13795" w:rsidRPr="00011E0A" w14:paraId="3CFD0488" w14:textId="77777777" w:rsidTr="005B54DA">
        <w:trPr>
          <w:trHeight w:val="404"/>
        </w:trPr>
        <w:tc>
          <w:tcPr>
            <w:tcW w:w="1080" w:type="dxa"/>
            <w:vMerge/>
          </w:tcPr>
          <w:p w14:paraId="7A9C4954"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58B6274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5F0CDFAC" w14:textId="77777777" w:rsidR="007755F8" w:rsidRPr="00011E0A" w:rsidDel="00A97A7C" w:rsidRDefault="007755F8" w:rsidP="007755F8">
            <w:pPr>
              <w:spacing w:after="160" w:line="259" w:lineRule="auto"/>
              <w:rPr>
                <w:rFonts w:ascii="Times New Roman" w:eastAsia="Calibri" w:hAnsi="Times New Roman" w:cs="Times New Roman"/>
                <w:b/>
                <w:sz w:val="20"/>
                <w:szCs w:val="20"/>
              </w:rPr>
            </w:pPr>
          </w:p>
        </w:tc>
        <w:tc>
          <w:tcPr>
            <w:tcW w:w="882" w:type="dxa"/>
          </w:tcPr>
          <w:p w14:paraId="0BEDBB6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3A3A2F5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tc>
        <w:tc>
          <w:tcPr>
            <w:tcW w:w="882" w:type="dxa"/>
          </w:tcPr>
          <w:p w14:paraId="6535D6F1"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5D83D54F"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tc>
        <w:tc>
          <w:tcPr>
            <w:tcW w:w="891" w:type="dxa"/>
          </w:tcPr>
          <w:p w14:paraId="259B17E9"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5</w:t>
            </w:r>
          </w:p>
        </w:tc>
        <w:tc>
          <w:tcPr>
            <w:tcW w:w="1341" w:type="dxa"/>
          </w:tcPr>
          <w:p w14:paraId="49F101D0"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Institucioni/Departamenti përgjegjës</w:t>
            </w:r>
          </w:p>
        </w:tc>
        <w:tc>
          <w:tcPr>
            <w:tcW w:w="900" w:type="dxa"/>
          </w:tcPr>
          <w:p w14:paraId="3DDF5CEF"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011E0A" w14:paraId="7C13B924" w14:textId="77777777" w:rsidTr="005B54DA">
        <w:trPr>
          <w:trHeight w:val="197"/>
        </w:trPr>
        <w:tc>
          <w:tcPr>
            <w:tcW w:w="1080" w:type="dxa"/>
            <w:vMerge/>
          </w:tcPr>
          <w:p w14:paraId="51A3A8BA"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0E8CC0D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48CDABDA" w14:textId="77777777" w:rsidR="007755F8" w:rsidRPr="00011E0A" w:rsidDel="00A97A7C"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3.1.1</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 xml:space="preserve">Zhvillimi i Planit të Komunikimit </w:t>
            </w:r>
          </w:p>
        </w:tc>
        <w:tc>
          <w:tcPr>
            <w:tcW w:w="882" w:type="dxa"/>
          </w:tcPr>
          <w:p w14:paraId="15469E31"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512F8907"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7A8B978"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EE007F7"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439E3A44"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282E0AA3"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095AD115" w14:textId="5857562C" w:rsidR="007755F8"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1</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X5vite</w:t>
            </w:r>
          </w:p>
        </w:tc>
      </w:tr>
      <w:tr w:rsidR="00E13795" w:rsidRPr="00011E0A" w14:paraId="03C1FCEF" w14:textId="77777777" w:rsidTr="005B54DA">
        <w:trPr>
          <w:trHeight w:val="1025"/>
        </w:trPr>
        <w:tc>
          <w:tcPr>
            <w:tcW w:w="1080" w:type="dxa"/>
            <w:vMerge/>
          </w:tcPr>
          <w:p w14:paraId="1BB281DB"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2A2C781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706DEEC" w14:textId="77777777" w:rsidR="007755F8" w:rsidRPr="00011E0A" w:rsidRDefault="007755F8" w:rsidP="007755F8">
            <w:pPr>
              <w:spacing w:after="160" w:line="259" w:lineRule="auto"/>
              <w:rPr>
                <w:rFonts w:ascii="Times New Roman" w:eastAsia="Calibri" w:hAnsi="Times New Roman" w:cs="Times New Roman"/>
                <w:b/>
                <w:sz w:val="20"/>
                <w:szCs w:val="20"/>
              </w:rPr>
            </w:pPr>
            <w:proofErr w:type="spellStart"/>
            <w:r w:rsidRPr="00011E0A">
              <w:rPr>
                <w:rFonts w:ascii="Times New Roman" w:eastAsia="Calibri" w:hAnsi="Times New Roman" w:cs="Times New Roman"/>
                <w:b/>
                <w:sz w:val="20"/>
                <w:szCs w:val="20"/>
              </w:rPr>
              <w:t>Aktivetit</w:t>
            </w:r>
            <w:proofErr w:type="spellEnd"/>
            <w:r w:rsidRPr="00011E0A">
              <w:rPr>
                <w:rFonts w:ascii="Times New Roman" w:eastAsia="Calibri" w:hAnsi="Times New Roman" w:cs="Times New Roman"/>
                <w:b/>
                <w:sz w:val="20"/>
                <w:szCs w:val="20"/>
              </w:rPr>
              <w:t xml:space="preserve"> 3.1.2</w:t>
            </w:r>
            <w:r w:rsidR="00E13795"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Planifikimi i buxhetit për fushatën informuese</w:t>
            </w:r>
          </w:p>
          <w:p w14:paraId="2DA2C6CC"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882" w:type="dxa"/>
          </w:tcPr>
          <w:p w14:paraId="58B14963"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4594D88"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10029D5"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E519889"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2B55968A"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0D7CECA6"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0C8F5ED8" w14:textId="77777777" w:rsidR="00945423"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Donatoret</w:t>
            </w:r>
          </w:p>
        </w:tc>
        <w:tc>
          <w:tcPr>
            <w:tcW w:w="900" w:type="dxa"/>
          </w:tcPr>
          <w:p w14:paraId="73364355" w14:textId="2991BE10" w:rsidR="007755F8" w:rsidRPr="00011E0A" w:rsidRDefault="00623D59" w:rsidP="00623D59">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2</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X5vite</w:t>
            </w:r>
          </w:p>
        </w:tc>
      </w:tr>
      <w:tr w:rsidR="00E13795" w:rsidRPr="00011E0A" w14:paraId="27CF72E9" w14:textId="77777777" w:rsidTr="005B54DA">
        <w:trPr>
          <w:trHeight w:val="1169"/>
        </w:trPr>
        <w:tc>
          <w:tcPr>
            <w:tcW w:w="1080" w:type="dxa"/>
            <w:vMerge/>
          </w:tcPr>
          <w:p w14:paraId="4411036A"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5BBCC1E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73670D22" w14:textId="77777777" w:rsidR="007755F8" w:rsidRPr="00011E0A" w:rsidDel="00A97A7C"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3.1.3</w:t>
            </w:r>
            <w:r w:rsidR="00E13795" w:rsidRPr="00011E0A">
              <w:rPr>
                <w:rFonts w:ascii="Times New Roman" w:eastAsia="Calibri" w:hAnsi="Times New Roman" w:cs="Times New Roman"/>
                <w:b/>
                <w:sz w:val="20"/>
                <w:szCs w:val="20"/>
              </w:rPr>
              <w:t xml:space="preserve"> </w:t>
            </w:r>
            <w:proofErr w:type="spellStart"/>
            <w:r w:rsidRPr="00011E0A">
              <w:rPr>
                <w:rFonts w:ascii="Times New Roman" w:eastAsia="Calibri" w:hAnsi="Times New Roman" w:cs="Times New Roman"/>
                <w:sz w:val="20"/>
                <w:szCs w:val="20"/>
              </w:rPr>
              <w:t>Pokurimi</w:t>
            </w:r>
            <w:proofErr w:type="spellEnd"/>
            <w:r w:rsidRPr="00011E0A">
              <w:rPr>
                <w:rFonts w:ascii="Times New Roman" w:eastAsia="Calibri" w:hAnsi="Times New Roman" w:cs="Times New Roman"/>
                <w:sz w:val="20"/>
                <w:szCs w:val="20"/>
              </w:rPr>
              <w:t xml:space="preserve"> i shërbimeve dhe mallrave</w:t>
            </w:r>
          </w:p>
        </w:tc>
        <w:tc>
          <w:tcPr>
            <w:tcW w:w="882" w:type="dxa"/>
          </w:tcPr>
          <w:p w14:paraId="536FD23A"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03E0E519"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65C1A461"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50CC1533"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405617F3"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41E197A0"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AQP</w:t>
            </w:r>
          </w:p>
          <w:p w14:paraId="0682A082" w14:textId="77777777" w:rsidR="006E2019"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Donatoret</w:t>
            </w:r>
          </w:p>
        </w:tc>
        <w:tc>
          <w:tcPr>
            <w:tcW w:w="900" w:type="dxa"/>
          </w:tcPr>
          <w:p w14:paraId="5C54445C" w14:textId="77777777" w:rsidR="007755F8"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Nuk ka kosto buxhetore</w:t>
            </w:r>
          </w:p>
        </w:tc>
      </w:tr>
      <w:tr w:rsidR="00E13795" w:rsidRPr="00011E0A" w14:paraId="279B40F9" w14:textId="77777777" w:rsidTr="005B54DA">
        <w:trPr>
          <w:trHeight w:val="539"/>
        </w:trPr>
        <w:tc>
          <w:tcPr>
            <w:tcW w:w="1080" w:type="dxa"/>
            <w:vMerge/>
          </w:tcPr>
          <w:p w14:paraId="5C78274A"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0888292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A9EE2BA" w14:textId="77777777" w:rsidR="007755F8" w:rsidRPr="00011E0A" w:rsidRDefault="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b/>
                <w:sz w:val="20"/>
                <w:szCs w:val="20"/>
              </w:rPr>
              <w:t>Aktiviteti 3.1.4</w:t>
            </w:r>
            <w:r w:rsidRPr="00011E0A">
              <w:rPr>
                <w:rFonts w:ascii="Times New Roman" w:eastAsia="Calibri" w:hAnsi="Times New Roman" w:cs="Times New Roman"/>
                <w:b/>
                <w:sz w:val="20"/>
                <w:szCs w:val="20"/>
              </w:rPr>
              <w:br/>
            </w:r>
            <w:proofErr w:type="spellStart"/>
            <w:r w:rsidRPr="00011E0A">
              <w:rPr>
                <w:rFonts w:ascii="Times New Roman" w:eastAsia="Calibri" w:hAnsi="Times New Roman" w:cs="Times New Roman"/>
                <w:sz w:val="20"/>
                <w:szCs w:val="20"/>
              </w:rPr>
              <w:t>Lansimi</w:t>
            </w:r>
            <w:proofErr w:type="spellEnd"/>
            <w:r w:rsidRPr="00011E0A">
              <w:rPr>
                <w:rFonts w:ascii="Times New Roman" w:eastAsia="Calibri" w:hAnsi="Times New Roman" w:cs="Times New Roman"/>
                <w:sz w:val="20"/>
                <w:szCs w:val="20"/>
              </w:rPr>
              <w:t xml:space="preserve"> i fushatës</w:t>
            </w:r>
          </w:p>
        </w:tc>
        <w:tc>
          <w:tcPr>
            <w:tcW w:w="882" w:type="dxa"/>
          </w:tcPr>
          <w:p w14:paraId="6C6CF08E"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A556283"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28B0F6DC"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27FB236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6889D2D9"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0A6AC406"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3CEED0F4"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Palët e interesit</w:t>
            </w:r>
          </w:p>
        </w:tc>
        <w:tc>
          <w:tcPr>
            <w:tcW w:w="900" w:type="dxa"/>
          </w:tcPr>
          <w:p w14:paraId="30D2F204" w14:textId="57352AC0" w:rsidR="007755F8" w:rsidRPr="00011E0A" w:rsidRDefault="00623D59" w:rsidP="00623D59">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3</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X2vite</w:t>
            </w:r>
          </w:p>
        </w:tc>
      </w:tr>
      <w:tr w:rsidR="00E13795" w:rsidRPr="00011E0A" w14:paraId="483B3763" w14:textId="77777777" w:rsidTr="005B54DA">
        <w:trPr>
          <w:trHeight w:val="719"/>
        </w:trPr>
        <w:tc>
          <w:tcPr>
            <w:tcW w:w="1080" w:type="dxa"/>
            <w:vMerge/>
          </w:tcPr>
          <w:p w14:paraId="0A1848CF" w14:textId="77777777" w:rsidR="007755F8" w:rsidRPr="00011E0A" w:rsidDel="00A97A7C" w:rsidRDefault="007755F8" w:rsidP="007755F8">
            <w:pPr>
              <w:spacing w:after="160" w:line="259" w:lineRule="auto"/>
              <w:rPr>
                <w:rFonts w:ascii="Times New Roman" w:eastAsia="Calibri" w:hAnsi="Times New Roman" w:cs="Times New Roman"/>
                <w:sz w:val="20"/>
                <w:szCs w:val="20"/>
              </w:rPr>
            </w:pPr>
          </w:p>
        </w:tc>
        <w:tc>
          <w:tcPr>
            <w:tcW w:w="1350" w:type="dxa"/>
            <w:vMerge/>
          </w:tcPr>
          <w:p w14:paraId="60ADD11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73B396C"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w:t>
            </w:r>
            <w:r w:rsidR="00EC1F74"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b/>
                <w:sz w:val="20"/>
                <w:szCs w:val="20"/>
              </w:rPr>
              <w:t>3.1.5</w:t>
            </w:r>
            <w:r w:rsidR="00EC1F74"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Monitor</w:t>
            </w:r>
            <w:r w:rsidR="00945423" w:rsidRPr="00011E0A">
              <w:rPr>
                <w:rFonts w:ascii="Times New Roman" w:eastAsia="Calibri" w:hAnsi="Times New Roman" w:cs="Times New Roman"/>
                <w:sz w:val="20"/>
                <w:szCs w:val="20"/>
              </w:rPr>
              <w:t>i</w:t>
            </w:r>
            <w:r w:rsidRPr="00011E0A">
              <w:rPr>
                <w:rFonts w:ascii="Times New Roman" w:eastAsia="Calibri" w:hAnsi="Times New Roman" w:cs="Times New Roman"/>
                <w:sz w:val="20"/>
                <w:szCs w:val="20"/>
              </w:rPr>
              <w:t>mi dhe vlerësimi i fushatës</w:t>
            </w:r>
          </w:p>
          <w:p w14:paraId="0616A474"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2DAF9CCE"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51F5A2F" w14:textId="77777777" w:rsidR="007755F8" w:rsidRPr="00011E0A" w:rsidRDefault="00945423"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5ED3A4A0"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82" w:type="dxa"/>
          </w:tcPr>
          <w:p w14:paraId="785F6903"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891" w:type="dxa"/>
          </w:tcPr>
          <w:p w14:paraId="7F4C7E9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41" w:type="dxa"/>
          </w:tcPr>
          <w:p w14:paraId="34A15347"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tc>
        <w:tc>
          <w:tcPr>
            <w:tcW w:w="900" w:type="dxa"/>
          </w:tcPr>
          <w:p w14:paraId="2C049E57" w14:textId="2DB5F7C5" w:rsidR="007755F8" w:rsidRPr="00011E0A" w:rsidRDefault="00623D5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1</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X2vite</w:t>
            </w:r>
          </w:p>
        </w:tc>
      </w:tr>
      <w:tr w:rsidR="00E13795" w:rsidRPr="00011E0A" w14:paraId="4D1D62D7" w14:textId="77777777" w:rsidTr="00D0483F">
        <w:trPr>
          <w:trHeight w:val="469"/>
        </w:trPr>
        <w:tc>
          <w:tcPr>
            <w:tcW w:w="1080" w:type="dxa"/>
            <w:vMerge w:val="restart"/>
          </w:tcPr>
          <w:p w14:paraId="22C8AB4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val="restart"/>
          </w:tcPr>
          <w:p w14:paraId="075EB1BC" w14:textId="5D5DB4DB" w:rsidR="007755F8" w:rsidRPr="00011E0A" w:rsidRDefault="00BE25F7" w:rsidP="00BE25F7">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Produkti </w:t>
            </w:r>
            <w:r w:rsidR="007755F8" w:rsidRPr="00011E0A">
              <w:rPr>
                <w:rFonts w:ascii="Times New Roman" w:eastAsia="Calibri" w:hAnsi="Times New Roman" w:cs="Times New Roman"/>
                <w:b/>
                <w:sz w:val="20"/>
                <w:szCs w:val="20"/>
              </w:rPr>
              <w:t>3.2</w:t>
            </w:r>
            <w:r w:rsidR="00EC1F74" w:rsidRPr="00011E0A">
              <w:rPr>
                <w:rFonts w:ascii="Times New Roman" w:eastAsia="Calibri" w:hAnsi="Times New Roman" w:cs="Times New Roman"/>
                <w:b/>
                <w:sz w:val="20"/>
                <w:szCs w:val="20"/>
              </w:rPr>
              <w:t xml:space="preserve"> </w:t>
            </w:r>
          </w:p>
        </w:tc>
        <w:tc>
          <w:tcPr>
            <w:tcW w:w="8640" w:type="dxa"/>
            <w:gridSpan w:val="8"/>
          </w:tcPr>
          <w:p w14:paraId="56D539F5" w14:textId="3A4ABF8B" w:rsidR="007755F8" w:rsidRPr="00011E0A" w:rsidRDefault="00BE25F7" w:rsidP="00BE25F7">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 xml:space="preserve">Bashkëpunimi ndërmjet AKK-së dhe Gjykatave i </w:t>
            </w:r>
            <w:proofErr w:type="spellStart"/>
            <w:r w:rsidRPr="00011E0A">
              <w:rPr>
                <w:rFonts w:ascii="Times New Roman" w:eastAsia="Calibri" w:hAnsi="Times New Roman" w:cs="Times New Roman"/>
                <w:sz w:val="20"/>
                <w:szCs w:val="20"/>
              </w:rPr>
              <w:t>formalizuar</w:t>
            </w:r>
            <w:proofErr w:type="spellEnd"/>
          </w:p>
        </w:tc>
      </w:tr>
      <w:tr w:rsidR="00E13795" w:rsidRPr="00011E0A" w14:paraId="436F3206" w14:textId="77777777" w:rsidTr="005B54DA">
        <w:trPr>
          <w:trHeight w:val="164"/>
        </w:trPr>
        <w:tc>
          <w:tcPr>
            <w:tcW w:w="1080" w:type="dxa"/>
            <w:vMerge/>
          </w:tcPr>
          <w:p w14:paraId="7B65AF17"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06FAEF28"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63B5974A" w14:textId="77777777" w:rsidR="007755F8" w:rsidRPr="00011E0A" w:rsidRDefault="007755F8" w:rsidP="007755F8">
            <w:pPr>
              <w:spacing w:after="160" w:line="259" w:lineRule="auto"/>
              <w:rPr>
                <w:rFonts w:ascii="Times New Roman" w:eastAsia="Calibri" w:hAnsi="Times New Roman" w:cs="Times New Roman"/>
                <w:b/>
                <w:sz w:val="20"/>
                <w:szCs w:val="20"/>
              </w:rPr>
            </w:pPr>
          </w:p>
        </w:tc>
        <w:tc>
          <w:tcPr>
            <w:tcW w:w="882" w:type="dxa"/>
          </w:tcPr>
          <w:p w14:paraId="4879CFD8"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1</w:t>
            </w:r>
          </w:p>
        </w:tc>
        <w:tc>
          <w:tcPr>
            <w:tcW w:w="882" w:type="dxa"/>
          </w:tcPr>
          <w:p w14:paraId="042762C5"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2</w:t>
            </w:r>
          </w:p>
          <w:p w14:paraId="7604D61C" w14:textId="77777777" w:rsidR="007755F8" w:rsidRPr="00011E0A" w:rsidRDefault="007755F8" w:rsidP="007755F8">
            <w:pPr>
              <w:spacing w:after="160" w:line="259" w:lineRule="auto"/>
              <w:rPr>
                <w:rFonts w:ascii="Times New Roman" w:eastAsia="Calibri" w:hAnsi="Times New Roman" w:cs="Times New Roman"/>
                <w:b/>
                <w:sz w:val="20"/>
                <w:szCs w:val="20"/>
              </w:rPr>
            </w:pPr>
          </w:p>
        </w:tc>
        <w:tc>
          <w:tcPr>
            <w:tcW w:w="882" w:type="dxa"/>
          </w:tcPr>
          <w:p w14:paraId="3296F95E"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3</w:t>
            </w:r>
          </w:p>
        </w:tc>
        <w:tc>
          <w:tcPr>
            <w:tcW w:w="882" w:type="dxa"/>
          </w:tcPr>
          <w:p w14:paraId="64E9551A"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Viti 4</w:t>
            </w:r>
          </w:p>
        </w:tc>
        <w:tc>
          <w:tcPr>
            <w:tcW w:w="891" w:type="dxa"/>
          </w:tcPr>
          <w:p w14:paraId="6672AAFF"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 xml:space="preserve">Viti 5 </w:t>
            </w:r>
          </w:p>
        </w:tc>
        <w:tc>
          <w:tcPr>
            <w:tcW w:w="1341" w:type="dxa"/>
          </w:tcPr>
          <w:p w14:paraId="5816EFB2"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Institucioni/Departamenti përgjegjës</w:t>
            </w:r>
          </w:p>
        </w:tc>
        <w:tc>
          <w:tcPr>
            <w:tcW w:w="900" w:type="dxa"/>
          </w:tcPr>
          <w:p w14:paraId="02F6718F" w14:textId="77777777" w:rsidR="007755F8" w:rsidRPr="00011E0A" w:rsidRDefault="007755F8" w:rsidP="007755F8">
            <w:pPr>
              <w:spacing w:after="160" w:line="259" w:lineRule="auto"/>
              <w:rPr>
                <w:rFonts w:ascii="Times New Roman" w:eastAsia="Calibri" w:hAnsi="Times New Roman" w:cs="Times New Roman"/>
                <w:sz w:val="20"/>
                <w:szCs w:val="20"/>
              </w:rPr>
            </w:pPr>
          </w:p>
        </w:tc>
      </w:tr>
      <w:tr w:rsidR="00E13795" w:rsidRPr="007755F8" w14:paraId="1485D4B1" w14:textId="77777777" w:rsidTr="005B54DA">
        <w:trPr>
          <w:trHeight w:val="698"/>
        </w:trPr>
        <w:tc>
          <w:tcPr>
            <w:tcW w:w="1080" w:type="dxa"/>
            <w:vMerge/>
          </w:tcPr>
          <w:p w14:paraId="1BDED711"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350" w:type="dxa"/>
            <w:vMerge/>
          </w:tcPr>
          <w:p w14:paraId="4EED6B36" w14:textId="77777777" w:rsidR="007755F8" w:rsidRPr="00011E0A" w:rsidRDefault="007755F8" w:rsidP="007755F8">
            <w:pPr>
              <w:spacing w:after="160" w:line="259" w:lineRule="auto"/>
              <w:rPr>
                <w:rFonts w:ascii="Times New Roman" w:eastAsia="Calibri" w:hAnsi="Times New Roman" w:cs="Times New Roman"/>
                <w:sz w:val="20"/>
                <w:szCs w:val="20"/>
              </w:rPr>
            </w:pPr>
          </w:p>
        </w:tc>
        <w:tc>
          <w:tcPr>
            <w:tcW w:w="1980" w:type="dxa"/>
          </w:tcPr>
          <w:p w14:paraId="0536CDC3" w14:textId="77777777" w:rsidR="007755F8" w:rsidRPr="00011E0A" w:rsidRDefault="007755F8" w:rsidP="007755F8">
            <w:pPr>
              <w:spacing w:after="160" w:line="259" w:lineRule="auto"/>
              <w:rPr>
                <w:rFonts w:ascii="Times New Roman" w:eastAsia="Calibri" w:hAnsi="Times New Roman" w:cs="Times New Roman"/>
                <w:b/>
                <w:sz w:val="20"/>
                <w:szCs w:val="20"/>
              </w:rPr>
            </w:pPr>
            <w:r w:rsidRPr="00011E0A">
              <w:rPr>
                <w:rFonts w:ascii="Times New Roman" w:eastAsia="Calibri" w:hAnsi="Times New Roman" w:cs="Times New Roman"/>
                <w:b/>
                <w:sz w:val="20"/>
                <w:szCs w:val="20"/>
              </w:rPr>
              <w:t>Aktiviteti 3.2.1</w:t>
            </w:r>
            <w:r w:rsidR="00EC1F74" w:rsidRPr="00011E0A">
              <w:rPr>
                <w:rFonts w:ascii="Times New Roman" w:eastAsia="Calibri" w:hAnsi="Times New Roman" w:cs="Times New Roman"/>
                <w:b/>
                <w:sz w:val="20"/>
                <w:szCs w:val="20"/>
              </w:rPr>
              <w:t xml:space="preserve"> </w:t>
            </w:r>
            <w:r w:rsidRPr="00011E0A">
              <w:rPr>
                <w:rFonts w:ascii="Times New Roman" w:eastAsia="Calibri" w:hAnsi="Times New Roman" w:cs="Times New Roman"/>
                <w:sz w:val="20"/>
                <w:szCs w:val="20"/>
              </w:rPr>
              <w:t xml:space="preserve">Hartimi i marrëveshjeve dhe memorandumeve të bashkëpunimit </w:t>
            </w:r>
          </w:p>
        </w:tc>
        <w:tc>
          <w:tcPr>
            <w:tcW w:w="882" w:type="dxa"/>
          </w:tcPr>
          <w:p w14:paraId="22806ED5"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3428B5AD" w14:textId="77777777" w:rsidR="007755F8" w:rsidRPr="00011E0A" w:rsidRDefault="006E2019"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18CE6E97" w14:textId="77777777" w:rsidR="007755F8" w:rsidRPr="00011E0A" w:rsidRDefault="005808A0"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82" w:type="dxa"/>
          </w:tcPr>
          <w:p w14:paraId="427547EF" w14:textId="77777777" w:rsidR="007755F8" w:rsidRPr="00011E0A" w:rsidRDefault="005808A0"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891" w:type="dxa"/>
          </w:tcPr>
          <w:p w14:paraId="285574B1" w14:textId="77777777" w:rsidR="007755F8" w:rsidRPr="00011E0A" w:rsidRDefault="005808A0"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x</w:t>
            </w:r>
          </w:p>
        </w:tc>
        <w:tc>
          <w:tcPr>
            <w:tcW w:w="1341" w:type="dxa"/>
          </w:tcPr>
          <w:p w14:paraId="716A6E1C"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AKK</w:t>
            </w:r>
          </w:p>
          <w:p w14:paraId="1B0F10C6" w14:textId="77777777" w:rsidR="007755F8" w:rsidRPr="00011E0A" w:rsidRDefault="007755F8" w:rsidP="007755F8">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Gjykatat</w:t>
            </w:r>
          </w:p>
        </w:tc>
        <w:tc>
          <w:tcPr>
            <w:tcW w:w="900" w:type="dxa"/>
          </w:tcPr>
          <w:p w14:paraId="2C034549" w14:textId="38EF093F" w:rsidR="007755F8" w:rsidRPr="00D0483F" w:rsidRDefault="00623D59" w:rsidP="005808A0">
            <w:pPr>
              <w:spacing w:after="160" w:line="259" w:lineRule="auto"/>
              <w:rPr>
                <w:rFonts w:ascii="Times New Roman" w:eastAsia="Calibri" w:hAnsi="Times New Roman" w:cs="Times New Roman"/>
                <w:sz w:val="20"/>
                <w:szCs w:val="20"/>
              </w:rPr>
            </w:pPr>
            <w:r w:rsidRPr="00011E0A">
              <w:rPr>
                <w:rFonts w:ascii="Times New Roman" w:eastAsia="Calibri" w:hAnsi="Times New Roman" w:cs="Times New Roman"/>
                <w:sz w:val="20"/>
                <w:szCs w:val="20"/>
              </w:rPr>
              <w:t>1</w:t>
            </w:r>
            <w:r w:rsidR="00A42903">
              <w:rPr>
                <w:rFonts w:ascii="Times New Roman" w:eastAsia="Calibri" w:hAnsi="Times New Roman" w:cs="Times New Roman"/>
                <w:sz w:val="20"/>
                <w:szCs w:val="20"/>
              </w:rPr>
              <w:t>,</w:t>
            </w:r>
            <w:r w:rsidRPr="00011E0A">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011E0A">
              <w:rPr>
                <w:rFonts w:ascii="Times New Roman" w:eastAsia="Calibri" w:hAnsi="Times New Roman" w:cs="Times New Roman"/>
                <w:sz w:val="20"/>
                <w:szCs w:val="20"/>
              </w:rPr>
              <w:t xml:space="preserve"> X</w:t>
            </w:r>
            <w:r w:rsidR="005808A0" w:rsidRPr="00011E0A">
              <w:rPr>
                <w:rFonts w:ascii="Times New Roman" w:eastAsia="Calibri" w:hAnsi="Times New Roman" w:cs="Times New Roman"/>
                <w:sz w:val="20"/>
                <w:szCs w:val="20"/>
              </w:rPr>
              <w:t>5</w:t>
            </w:r>
            <w:r w:rsidRPr="00011E0A">
              <w:rPr>
                <w:rFonts w:ascii="Times New Roman" w:eastAsia="Calibri" w:hAnsi="Times New Roman" w:cs="Times New Roman"/>
                <w:sz w:val="20"/>
                <w:szCs w:val="20"/>
              </w:rPr>
              <w:t>vite</w:t>
            </w:r>
          </w:p>
        </w:tc>
      </w:tr>
    </w:tbl>
    <w:p w14:paraId="6D3D559A" w14:textId="77777777" w:rsidR="007755F8" w:rsidRPr="007755F8" w:rsidRDefault="007755F8" w:rsidP="007755F8">
      <w:pPr>
        <w:rPr>
          <w:rFonts w:ascii="Calibri" w:eastAsia="Calibri" w:hAnsi="Calibri" w:cs="Times New Roman"/>
        </w:rPr>
      </w:pPr>
    </w:p>
    <w:p w14:paraId="6509E3D6" w14:textId="77777777" w:rsidR="007755F8" w:rsidRPr="007755F8" w:rsidRDefault="007755F8" w:rsidP="007755F8">
      <w:pPr>
        <w:spacing w:after="200" w:line="240" w:lineRule="auto"/>
        <w:rPr>
          <w:rFonts w:ascii="Times New Roman" w:eastAsia="Calibri" w:hAnsi="Times New Roman" w:cs="Times New Roman"/>
          <w:i/>
          <w:iCs/>
          <w:color w:val="44546A"/>
          <w:sz w:val="24"/>
          <w:szCs w:val="24"/>
        </w:rPr>
      </w:pPr>
      <w:r w:rsidRPr="007755F8">
        <w:rPr>
          <w:rFonts w:ascii="Times New Roman" w:eastAsia="Calibri" w:hAnsi="Times New Roman" w:cs="Times New Roman"/>
          <w:i/>
          <w:iCs/>
          <w:color w:val="44546A"/>
          <w:sz w:val="24"/>
          <w:szCs w:val="24"/>
        </w:rPr>
        <w:t xml:space="preserve">Figura </w:t>
      </w:r>
      <w:r w:rsidR="0064305F" w:rsidRPr="007755F8">
        <w:rPr>
          <w:rFonts w:ascii="Times New Roman" w:eastAsia="Calibri" w:hAnsi="Times New Roman" w:cs="Times New Roman"/>
          <w:i/>
          <w:iCs/>
          <w:color w:val="44546A"/>
          <w:sz w:val="24"/>
          <w:szCs w:val="24"/>
        </w:rPr>
        <w:fldChar w:fldCharType="begin"/>
      </w:r>
      <w:r w:rsidRPr="007755F8">
        <w:rPr>
          <w:rFonts w:ascii="Times New Roman" w:eastAsia="Calibri" w:hAnsi="Times New Roman" w:cs="Times New Roman"/>
          <w:i/>
          <w:iCs/>
          <w:color w:val="44546A"/>
          <w:sz w:val="24"/>
          <w:szCs w:val="24"/>
        </w:rPr>
        <w:instrText xml:space="preserve"> SEQ Figure \* ARABIC </w:instrText>
      </w:r>
      <w:r w:rsidR="0064305F" w:rsidRPr="007755F8">
        <w:rPr>
          <w:rFonts w:ascii="Times New Roman" w:eastAsia="Calibri" w:hAnsi="Times New Roman" w:cs="Times New Roman"/>
          <w:i/>
          <w:iCs/>
          <w:color w:val="44546A"/>
          <w:sz w:val="24"/>
          <w:szCs w:val="24"/>
        </w:rPr>
        <w:fldChar w:fldCharType="separate"/>
      </w:r>
      <w:r w:rsidR="0095778A">
        <w:rPr>
          <w:rFonts w:ascii="Times New Roman" w:eastAsia="Calibri" w:hAnsi="Times New Roman" w:cs="Times New Roman"/>
          <w:i/>
          <w:iCs/>
          <w:noProof/>
          <w:color w:val="44546A"/>
          <w:sz w:val="24"/>
          <w:szCs w:val="24"/>
        </w:rPr>
        <w:t>5</w:t>
      </w:r>
      <w:r w:rsidR="0064305F" w:rsidRPr="007755F8">
        <w:rPr>
          <w:rFonts w:ascii="Times New Roman" w:eastAsia="Calibri" w:hAnsi="Times New Roman" w:cs="Times New Roman"/>
          <w:i/>
          <w:iCs/>
          <w:color w:val="44546A"/>
          <w:sz w:val="24"/>
          <w:szCs w:val="24"/>
        </w:rPr>
        <w:fldChar w:fldCharType="end"/>
      </w:r>
      <w:r w:rsidRPr="007755F8">
        <w:rPr>
          <w:rFonts w:ascii="Times New Roman" w:eastAsia="Calibri" w:hAnsi="Times New Roman" w:cs="Times New Roman"/>
          <w:i/>
          <w:iCs/>
          <w:color w:val="44546A"/>
          <w:sz w:val="24"/>
          <w:szCs w:val="24"/>
        </w:rPr>
        <w:t>: Plani i zbatimit për Opsionin 3</w:t>
      </w:r>
    </w:p>
    <w:tbl>
      <w:tblPr>
        <w:tblStyle w:val="TableGrid"/>
        <w:tblW w:w="10890" w:type="dxa"/>
        <w:tblInd w:w="-522" w:type="dxa"/>
        <w:tblLayout w:type="fixed"/>
        <w:tblLook w:val="04A0" w:firstRow="1" w:lastRow="0" w:firstColumn="1" w:lastColumn="0" w:noHBand="0" w:noVBand="1"/>
      </w:tblPr>
      <w:tblGrid>
        <w:gridCol w:w="1440"/>
        <w:gridCol w:w="1350"/>
        <w:gridCol w:w="1170"/>
        <w:gridCol w:w="882"/>
        <w:gridCol w:w="882"/>
        <w:gridCol w:w="882"/>
        <w:gridCol w:w="882"/>
        <w:gridCol w:w="882"/>
        <w:gridCol w:w="1350"/>
        <w:gridCol w:w="1170"/>
      </w:tblGrid>
      <w:tr w:rsidR="007755F8" w:rsidRPr="00E32856" w14:paraId="292971CC" w14:textId="77777777" w:rsidTr="00D0483F">
        <w:tc>
          <w:tcPr>
            <w:tcW w:w="1440" w:type="dxa"/>
          </w:tcPr>
          <w:p w14:paraId="4776825A"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Qëllimi i</w:t>
            </w:r>
          </w:p>
          <w:p w14:paraId="287388F8"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b/>
                <w:sz w:val="20"/>
                <w:szCs w:val="20"/>
              </w:rPr>
              <w:t>politikës</w:t>
            </w:r>
          </w:p>
        </w:tc>
        <w:tc>
          <w:tcPr>
            <w:tcW w:w="8280" w:type="dxa"/>
            <w:gridSpan w:val="8"/>
          </w:tcPr>
          <w:p w14:paraId="735A5680"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MS Mincho" w:hAnsi="Times New Roman" w:cs="Times New Roman"/>
                <w:b/>
                <w:sz w:val="20"/>
                <w:szCs w:val="20"/>
              </w:rPr>
              <w:t>Trajnime dhe Ngritje kapaciteteve të AKK-së</w:t>
            </w:r>
          </w:p>
        </w:tc>
        <w:tc>
          <w:tcPr>
            <w:tcW w:w="1170" w:type="dxa"/>
            <w:vMerge w:val="restart"/>
          </w:tcPr>
          <w:p w14:paraId="6BB5667B"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Shifra e pritshme e kostos</w:t>
            </w:r>
          </w:p>
        </w:tc>
      </w:tr>
      <w:tr w:rsidR="007755F8" w:rsidRPr="00E32856" w14:paraId="70A2669C" w14:textId="77777777" w:rsidTr="00D0483F">
        <w:tc>
          <w:tcPr>
            <w:tcW w:w="1440" w:type="dxa"/>
          </w:tcPr>
          <w:p w14:paraId="35FF755A"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Objektivi strategjik</w:t>
            </w:r>
          </w:p>
        </w:tc>
        <w:tc>
          <w:tcPr>
            <w:tcW w:w="8280" w:type="dxa"/>
            <w:gridSpan w:val="8"/>
          </w:tcPr>
          <w:p w14:paraId="2445DA29"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Sigurimi i kapaciteteve institucionale brenda AKK-së për zbatimin e ligjit</w:t>
            </w:r>
          </w:p>
        </w:tc>
        <w:tc>
          <w:tcPr>
            <w:tcW w:w="1170" w:type="dxa"/>
            <w:vMerge/>
          </w:tcPr>
          <w:p w14:paraId="26CF0FEB" w14:textId="77777777" w:rsidR="007755F8" w:rsidRPr="00E32856" w:rsidRDefault="007755F8" w:rsidP="007755F8">
            <w:pPr>
              <w:spacing w:after="160" w:line="259" w:lineRule="auto"/>
              <w:rPr>
                <w:rFonts w:ascii="Times New Roman" w:eastAsia="Calibri" w:hAnsi="Times New Roman" w:cs="Times New Roman"/>
                <w:sz w:val="20"/>
                <w:szCs w:val="20"/>
              </w:rPr>
            </w:pPr>
          </w:p>
        </w:tc>
      </w:tr>
      <w:tr w:rsidR="007755F8" w:rsidRPr="00E32856" w14:paraId="5D1F1727" w14:textId="77777777" w:rsidTr="00D0483F">
        <w:tc>
          <w:tcPr>
            <w:tcW w:w="1440" w:type="dxa"/>
          </w:tcPr>
          <w:p w14:paraId="21477060"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280" w:type="dxa"/>
            <w:gridSpan w:val="8"/>
          </w:tcPr>
          <w:p w14:paraId="4CAED689" w14:textId="6EF0158A" w:rsidR="007755F8" w:rsidRPr="00E32856" w:rsidRDefault="00B22DB1"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Produkti</w:t>
            </w:r>
            <w:r w:rsidR="007755F8" w:rsidRPr="00E32856">
              <w:rPr>
                <w:rFonts w:ascii="Times New Roman" w:eastAsia="Calibri" w:hAnsi="Times New Roman" w:cs="Times New Roman"/>
                <w:sz w:val="20"/>
                <w:szCs w:val="20"/>
              </w:rPr>
              <w:t>, aktivitetet, viti dhe organizata/departamenti përgjegjës</w:t>
            </w:r>
          </w:p>
          <w:p w14:paraId="6A69206E"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vMerge/>
          </w:tcPr>
          <w:p w14:paraId="5E0E13EB" w14:textId="77777777" w:rsidR="007755F8" w:rsidRPr="00E32856" w:rsidRDefault="007755F8" w:rsidP="007755F8">
            <w:pPr>
              <w:spacing w:after="160" w:line="259" w:lineRule="auto"/>
              <w:rPr>
                <w:rFonts w:ascii="Times New Roman" w:eastAsia="Calibri" w:hAnsi="Times New Roman" w:cs="Times New Roman"/>
                <w:sz w:val="20"/>
                <w:szCs w:val="20"/>
              </w:rPr>
            </w:pPr>
          </w:p>
        </w:tc>
      </w:tr>
      <w:tr w:rsidR="007755F8" w:rsidRPr="00E32856" w14:paraId="68538F33" w14:textId="77777777" w:rsidTr="00D0483F">
        <w:tc>
          <w:tcPr>
            <w:tcW w:w="1440" w:type="dxa"/>
            <w:vMerge w:val="restart"/>
          </w:tcPr>
          <w:p w14:paraId="0CC82BE2" w14:textId="0B774320" w:rsidR="007755F8" w:rsidRPr="00E32856" w:rsidRDefault="007755F8" w:rsidP="00BE25F7">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 xml:space="preserve">Objektivi </w:t>
            </w:r>
            <w:r w:rsidR="00BE25F7" w:rsidRPr="00E32856">
              <w:rPr>
                <w:rFonts w:ascii="Times New Roman" w:eastAsia="Calibri" w:hAnsi="Times New Roman" w:cs="Times New Roman"/>
                <w:sz w:val="20"/>
                <w:szCs w:val="20"/>
              </w:rPr>
              <w:t xml:space="preserve">specifik </w:t>
            </w:r>
            <w:r w:rsidRPr="00E32856">
              <w:rPr>
                <w:rFonts w:ascii="Times New Roman" w:eastAsia="Calibri" w:hAnsi="Times New Roman" w:cs="Times New Roman"/>
                <w:sz w:val="20"/>
                <w:szCs w:val="20"/>
              </w:rPr>
              <w:t>1</w:t>
            </w:r>
          </w:p>
        </w:tc>
        <w:tc>
          <w:tcPr>
            <w:tcW w:w="1350" w:type="dxa"/>
            <w:vMerge w:val="restart"/>
          </w:tcPr>
          <w:p w14:paraId="7648221D" w14:textId="17C7E762" w:rsidR="007755F8" w:rsidRPr="00E32856" w:rsidRDefault="00B22DB1" w:rsidP="00A232AD">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Produkti</w:t>
            </w:r>
            <w:r w:rsidR="007755F8" w:rsidRPr="00E32856">
              <w:rPr>
                <w:rFonts w:ascii="Times New Roman" w:eastAsia="Calibri" w:hAnsi="Times New Roman" w:cs="Times New Roman"/>
                <w:b/>
                <w:sz w:val="20"/>
                <w:szCs w:val="20"/>
              </w:rPr>
              <w:t xml:space="preserve"> 1.1</w:t>
            </w:r>
            <w:r w:rsidR="00EC1F74" w:rsidRPr="00E32856">
              <w:rPr>
                <w:rFonts w:ascii="Times New Roman" w:eastAsia="Calibri" w:hAnsi="Times New Roman" w:cs="Times New Roman"/>
                <w:b/>
                <w:sz w:val="20"/>
                <w:szCs w:val="20"/>
              </w:rPr>
              <w:t xml:space="preserve"> </w:t>
            </w:r>
          </w:p>
        </w:tc>
        <w:tc>
          <w:tcPr>
            <w:tcW w:w="6930" w:type="dxa"/>
            <w:gridSpan w:val="7"/>
          </w:tcPr>
          <w:p w14:paraId="4851A866" w14:textId="6016A95F" w:rsidR="007755F8" w:rsidRPr="00E32856" w:rsidRDefault="00A232AD"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Kapacitetet e brendshme të AKK-së për realizimin e hetimeve, të ngritura</w:t>
            </w:r>
          </w:p>
          <w:p w14:paraId="7FB62040"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tcPr>
          <w:p w14:paraId="0900373B" w14:textId="77777777" w:rsidR="007755F8" w:rsidRPr="00E32856" w:rsidRDefault="007755F8" w:rsidP="007755F8">
            <w:pPr>
              <w:spacing w:after="160" w:line="259" w:lineRule="auto"/>
              <w:rPr>
                <w:rFonts w:ascii="Times New Roman" w:eastAsia="Calibri" w:hAnsi="Times New Roman" w:cs="Times New Roman"/>
                <w:sz w:val="20"/>
                <w:szCs w:val="20"/>
              </w:rPr>
            </w:pPr>
          </w:p>
        </w:tc>
      </w:tr>
      <w:tr w:rsidR="007755F8" w:rsidRPr="00E32856" w14:paraId="7B734C5D" w14:textId="77777777" w:rsidTr="00D0483F">
        <w:tc>
          <w:tcPr>
            <w:tcW w:w="1440" w:type="dxa"/>
            <w:vMerge/>
          </w:tcPr>
          <w:p w14:paraId="68A97D47"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350" w:type="dxa"/>
            <w:vMerge/>
          </w:tcPr>
          <w:p w14:paraId="49380042"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tcPr>
          <w:p w14:paraId="046EBA4C"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82" w:type="dxa"/>
          </w:tcPr>
          <w:p w14:paraId="26EDB2AE"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Viti 1</w:t>
            </w:r>
          </w:p>
        </w:tc>
        <w:tc>
          <w:tcPr>
            <w:tcW w:w="882" w:type="dxa"/>
          </w:tcPr>
          <w:p w14:paraId="07EC721D"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Viti 2</w:t>
            </w:r>
          </w:p>
        </w:tc>
        <w:tc>
          <w:tcPr>
            <w:tcW w:w="882" w:type="dxa"/>
          </w:tcPr>
          <w:p w14:paraId="14E27F28"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Viti 3</w:t>
            </w:r>
          </w:p>
        </w:tc>
        <w:tc>
          <w:tcPr>
            <w:tcW w:w="882" w:type="dxa"/>
          </w:tcPr>
          <w:p w14:paraId="5034D2FC"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Viti 4</w:t>
            </w:r>
          </w:p>
        </w:tc>
        <w:tc>
          <w:tcPr>
            <w:tcW w:w="882" w:type="dxa"/>
          </w:tcPr>
          <w:p w14:paraId="158EE2E5"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Viti 5</w:t>
            </w:r>
          </w:p>
        </w:tc>
        <w:tc>
          <w:tcPr>
            <w:tcW w:w="1350" w:type="dxa"/>
          </w:tcPr>
          <w:p w14:paraId="25A31A66"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Institucioni /departamenti përgjegjës</w:t>
            </w:r>
          </w:p>
        </w:tc>
        <w:tc>
          <w:tcPr>
            <w:tcW w:w="1170" w:type="dxa"/>
          </w:tcPr>
          <w:p w14:paraId="7D387F29" w14:textId="77777777" w:rsidR="007755F8" w:rsidRPr="00E32856" w:rsidRDefault="007755F8" w:rsidP="007755F8">
            <w:pPr>
              <w:spacing w:after="160" w:line="259" w:lineRule="auto"/>
              <w:rPr>
                <w:rFonts w:ascii="Times New Roman" w:eastAsia="Calibri" w:hAnsi="Times New Roman" w:cs="Times New Roman"/>
                <w:sz w:val="20"/>
                <w:szCs w:val="20"/>
              </w:rPr>
            </w:pPr>
          </w:p>
        </w:tc>
      </w:tr>
      <w:tr w:rsidR="007755F8" w:rsidRPr="00E32856" w14:paraId="389D1DB7" w14:textId="77777777" w:rsidTr="00D0483F">
        <w:tc>
          <w:tcPr>
            <w:tcW w:w="1440" w:type="dxa"/>
            <w:vMerge/>
          </w:tcPr>
          <w:p w14:paraId="11459163"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350" w:type="dxa"/>
            <w:vMerge/>
          </w:tcPr>
          <w:p w14:paraId="34E73159"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tcPr>
          <w:p w14:paraId="245CE785"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Aktiviteti 1.1.1</w:t>
            </w:r>
            <w:r w:rsidR="00EC1F74" w:rsidRPr="00E32856">
              <w:rPr>
                <w:rFonts w:ascii="Times New Roman" w:eastAsia="Calibri" w:hAnsi="Times New Roman" w:cs="Times New Roman"/>
                <w:b/>
                <w:sz w:val="20"/>
                <w:szCs w:val="20"/>
              </w:rPr>
              <w:t xml:space="preserve"> </w:t>
            </w:r>
            <w:r w:rsidRPr="00E32856">
              <w:rPr>
                <w:rFonts w:ascii="Times New Roman" w:eastAsia="Calibri" w:hAnsi="Times New Roman" w:cs="Times New Roman"/>
                <w:sz w:val="20"/>
                <w:szCs w:val="20"/>
              </w:rPr>
              <w:t>Rekrutimi i zyrtarëve të rinj</w:t>
            </w:r>
          </w:p>
        </w:tc>
        <w:tc>
          <w:tcPr>
            <w:tcW w:w="882" w:type="dxa"/>
          </w:tcPr>
          <w:p w14:paraId="1B2A9809"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p w14:paraId="4C174605"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82" w:type="dxa"/>
          </w:tcPr>
          <w:p w14:paraId="33E602DC"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82" w:type="dxa"/>
          </w:tcPr>
          <w:p w14:paraId="1A0891FC"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82" w:type="dxa"/>
          </w:tcPr>
          <w:p w14:paraId="55D51EC7"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882" w:type="dxa"/>
          </w:tcPr>
          <w:p w14:paraId="6C0A94E7"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350" w:type="dxa"/>
          </w:tcPr>
          <w:p w14:paraId="6CFF4F3C"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AKK</w:t>
            </w:r>
          </w:p>
        </w:tc>
        <w:tc>
          <w:tcPr>
            <w:tcW w:w="1170" w:type="dxa"/>
          </w:tcPr>
          <w:p w14:paraId="198FB19A" w14:textId="77777777" w:rsidR="007755F8" w:rsidRPr="00E32856" w:rsidRDefault="005808A0" w:rsidP="005808A0">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200</w:t>
            </w:r>
          </w:p>
        </w:tc>
      </w:tr>
      <w:tr w:rsidR="007755F8" w:rsidRPr="00E32856" w14:paraId="0C78223E" w14:textId="77777777" w:rsidTr="00D0483F">
        <w:tc>
          <w:tcPr>
            <w:tcW w:w="1440" w:type="dxa"/>
            <w:vMerge/>
          </w:tcPr>
          <w:p w14:paraId="7E89B4DE"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350" w:type="dxa"/>
            <w:vMerge/>
          </w:tcPr>
          <w:p w14:paraId="03EC9C1E"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tcPr>
          <w:p w14:paraId="272DDAEE"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Aktiviteti 1.1.2</w:t>
            </w:r>
            <w:r w:rsidR="00EC1F74" w:rsidRPr="00E32856">
              <w:rPr>
                <w:rFonts w:ascii="Times New Roman" w:eastAsia="Calibri" w:hAnsi="Times New Roman" w:cs="Times New Roman"/>
                <w:b/>
                <w:sz w:val="20"/>
                <w:szCs w:val="20"/>
              </w:rPr>
              <w:t xml:space="preserve"> </w:t>
            </w:r>
            <w:r w:rsidRPr="00E32856">
              <w:rPr>
                <w:rFonts w:ascii="Times New Roman" w:eastAsia="Calibri" w:hAnsi="Times New Roman" w:cs="Times New Roman"/>
                <w:sz w:val="20"/>
                <w:szCs w:val="20"/>
              </w:rPr>
              <w:t>Trajnimi i zyrtarëve të AKK-së mbi praktikat e BE-së në fushën e konkurrencës dhe zbatimit të saj përmes trajnimeve, punëtorive, vizitave studimore</w:t>
            </w:r>
          </w:p>
        </w:tc>
        <w:tc>
          <w:tcPr>
            <w:tcW w:w="882" w:type="dxa"/>
          </w:tcPr>
          <w:p w14:paraId="2534A07F"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6EFDFF47"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21372A26"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5C58C83F"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55070DEC" w14:textId="77777777" w:rsidR="007755F8" w:rsidRPr="00E32856" w:rsidRDefault="006E2019"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1350" w:type="dxa"/>
          </w:tcPr>
          <w:p w14:paraId="0AAE0C4D"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Donatorë</w:t>
            </w:r>
          </w:p>
          <w:p w14:paraId="521A9939"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AKK</w:t>
            </w:r>
          </w:p>
          <w:p w14:paraId="617502D6" w14:textId="6B044C80" w:rsidR="006E2019" w:rsidRPr="00E32856" w:rsidRDefault="006E2019" w:rsidP="006E2019">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Organizatoret  e punëtorive</w:t>
            </w:r>
            <w:r w:rsidR="00C17F8E" w:rsidRPr="00E32856">
              <w:rPr>
                <w:rFonts w:ascii="Times New Roman" w:eastAsia="Calibri" w:hAnsi="Times New Roman" w:cs="Times New Roman"/>
                <w:sz w:val="20"/>
                <w:szCs w:val="20"/>
              </w:rPr>
              <w:t xml:space="preserve"> për </w:t>
            </w:r>
            <w:r w:rsidRPr="00E32856">
              <w:rPr>
                <w:rFonts w:ascii="Times New Roman" w:eastAsia="Calibri" w:hAnsi="Times New Roman" w:cs="Times New Roman"/>
                <w:sz w:val="20"/>
                <w:szCs w:val="20"/>
              </w:rPr>
              <w:t xml:space="preserve">Konkurrence nga Institucione tjera </w:t>
            </w:r>
            <w:proofErr w:type="spellStart"/>
            <w:r w:rsidRPr="00E32856">
              <w:rPr>
                <w:rFonts w:ascii="Times New Roman" w:eastAsia="Calibri" w:hAnsi="Times New Roman" w:cs="Times New Roman"/>
                <w:sz w:val="20"/>
                <w:szCs w:val="20"/>
              </w:rPr>
              <w:t>nderkombetare</w:t>
            </w:r>
            <w:proofErr w:type="spellEnd"/>
          </w:p>
        </w:tc>
        <w:tc>
          <w:tcPr>
            <w:tcW w:w="1170" w:type="dxa"/>
          </w:tcPr>
          <w:p w14:paraId="60FAB17E" w14:textId="45429712" w:rsidR="007755F8" w:rsidRPr="00E32856" w:rsidRDefault="005808A0"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1</w:t>
            </w:r>
            <w:r w:rsidR="00A42903">
              <w:rPr>
                <w:rFonts w:ascii="Times New Roman" w:eastAsia="Calibri" w:hAnsi="Times New Roman" w:cs="Times New Roman"/>
                <w:sz w:val="20"/>
                <w:szCs w:val="20"/>
              </w:rPr>
              <w:t>,</w:t>
            </w:r>
            <w:r w:rsidRPr="00E32856">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E32856">
              <w:rPr>
                <w:rFonts w:ascii="Times New Roman" w:eastAsia="Calibri" w:hAnsi="Times New Roman" w:cs="Times New Roman"/>
                <w:sz w:val="20"/>
                <w:szCs w:val="20"/>
              </w:rPr>
              <w:t xml:space="preserve"> X5vite</w:t>
            </w:r>
          </w:p>
        </w:tc>
      </w:tr>
      <w:tr w:rsidR="007755F8" w:rsidRPr="007755F8" w14:paraId="6FFC8148" w14:textId="77777777" w:rsidTr="00D0483F">
        <w:tc>
          <w:tcPr>
            <w:tcW w:w="1440" w:type="dxa"/>
            <w:vMerge/>
          </w:tcPr>
          <w:p w14:paraId="77C65479"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350" w:type="dxa"/>
            <w:vMerge/>
          </w:tcPr>
          <w:p w14:paraId="0EA3AFC1" w14:textId="77777777" w:rsidR="007755F8" w:rsidRPr="00E32856" w:rsidRDefault="007755F8" w:rsidP="007755F8">
            <w:pPr>
              <w:spacing w:after="160" w:line="259" w:lineRule="auto"/>
              <w:rPr>
                <w:rFonts w:ascii="Times New Roman" w:eastAsia="Calibri" w:hAnsi="Times New Roman" w:cs="Times New Roman"/>
                <w:sz w:val="20"/>
                <w:szCs w:val="20"/>
              </w:rPr>
            </w:pPr>
          </w:p>
        </w:tc>
        <w:tc>
          <w:tcPr>
            <w:tcW w:w="1170" w:type="dxa"/>
          </w:tcPr>
          <w:p w14:paraId="389A3417" w14:textId="77777777" w:rsidR="007755F8" w:rsidRPr="00E32856" w:rsidRDefault="007755F8" w:rsidP="007755F8">
            <w:pPr>
              <w:spacing w:after="160" w:line="259" w:lineRule="auto"/>
              <w:rPr>
                <w:rFonts w:ascii="Times New Roman" w:eastAsia="Calibri" w:hAnsi="Times New Roman" w:cs="Times New Roman"/>
                <w:b/>
                <w:sz w:val="20"/>
                <w:szCs w:val="20"/>
              </w:rPr>
            </w:pPr>
            <w:r w:rsidRPr="00E32856">
              <w:rPr>
                <w:rFonts w:ascii="Times New Roman" w:eastAsia="Calibri" w:hAnsi="Times New Roman" w:cs="Times New Roman"/>
                <w:b/>
                <w:sz w:val="20"/>
                <w:szCs w:val="20"/>
              </w:rPr>
              <w:t>Aktiviteti 1.1.3</w:t>
            </w:r>
            <w:r w:rsidR="00EC1F74" w:rsidRPr="00E32856">
              <w:rPr>
                <w:rFonts w:ascii="Times New Roman" w:eastAsia="Calibri" w:hAnsi="Times New Roman" w:cs="Times New Roman"/>
                <w:b/>
                <w:sz w:val="20"/>
                <w:szCs w:val="20"/>
              </w:rPr>
              <w:t xml:space="preserve"> </w:t>
            </w:r>
            <w:r w:rsidRPr="00E32856">
              <w:rPr>
                <w:rFonts w:ascii="Times New Roman" w:eastAsia="Calibri" w:hAnsi="Times New Roman" w:cs="Times New Roman"/>
                <w:sz w:val="20"/>
                <w:szCs w:val="20"/>
              </w:rPr>
              <w:lastRenderedPageBreak/>
              <w:t xml:space="preserve">Ngritja e nivelit të bashkëpunimit me </w:t>
            </w:r>
            <w:proofErr w:type="spellStart"/>
            <w:r w:rsidRPr="00E32856">
              <w:rPr>
                <w:rFonts w:ascii="Times New Roman" w:eastAsia="Calibri" w:hAnsi="Times New Roman" w:cs="Times New Roman"/>
                <w:sz w:val="20"/>
                <w:szCs w:val="20"/>
              </w:rPr>
              <w:t>instucionet</w:t>
            </w:r>
            <w:proofErr w:type="spellEnd"/>
            <w:r w:rsidRPr="00E32856">
              <w:rPr>
                <w:rFonts w:ascii="Times New Roman" w:eastAsia="Calibri" w:hAnsi="Times New Roman" w:cs="Times New Roman"/>
                <w:sz w:val="20"/>
                <w:szCs w:val="20"/>
              </w:rPr>
              <w:t xml:space="preserve"> relevante të BE-së dhe shteteve anëtare</w:t>
            </w:r>
          </w:p>
        </w:tc>
        <w:tc>
          <w:tcPr>
            <w:tcW w:w="882" w:type="dxa"/>
          </w:tcPr>
          <w:p w14:paraId="0ECD19F2" w14:textId="77777777" w:rsidR="007755F8" w:rsidRPr="00E32856" w:rsidRDefault="00417AFF"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lastRenderedPageBreak/>
              <w:t>x</w:t>
            </w:r>
          </w:p>
        </w:tc>
        <w:tc>
          <w:tcPr>
            <w:tcW w:w="882" w:type="dxa"/>
          </w:tcPr>
          <w:p w14:paraId="6D69063E" w14:textId="77777777" w:rsidR="007755F8" w:rsidRPr="00E32856" w:rsidRDefault="00417AFF"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7121749A" w14:textId="77777777" w:rsidR="007755F8" w:rsidRPr="00E32856" w:rsidRDefault="00417AFF"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2B83305B" w14:textId="77777777" w:rsidR="007755F8" w:rsidRPr="00E32856" w:rsidRDefault="00417AFF"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882" w:type="dxa"/>
          </w:tcPr>
          <w:p w14:paraId="62E2E900" w14:textId="77777777" w:rsidR="007755F8" w:rsidRPr="00E32856" w:rsidRDefault="00417AFF"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x</w:t>
            </w:r>
          </w:p>
        </w:tc>
        <w:tc>
          <w:tcPr>
            <w:tcW w:w="1350" w:type="dxa"/>
          </w:tcPr>
          <w:p w14:paraId="36118BF4"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t>AKK</w:t>
            </w:r>
          </w:p>
          <w:p w14:paraId="5A32D925" w14:textId="77777777" w:rsidR="007755F8" w:rsidRPr="00E32856" w:rsidRDefault="007755F8"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lastRenderedPageBreak/>
              <w:t>BE</w:t>
            </w:r>
          </w:p>
        </w:tc>
        <w:tc>
          <w:tcPr>
            <w:tcW w:w="1170" w:type="dxa"/>
          </w:tcPr>
          <w:p w14:paraId="6BC1418C" w14:textId="26AA5792" w:rsidR="007755F8" w:rsidRPr="00D0483F" w:rsidRDefault="005808A0" w:rsidP="007755F8">
            <w:pPr>
              <w:spacing w:after="160" w:line="259" w:lineRule="auto"/>
              <w:rPr>
                <w:rFonts w:ascii="Times New Roman" w:eastAsia="Calibri" w:hAnsi="Times New Roman" w:cs="Times New Roman"/>
                <w:sz w:val="20"/>
                <w:szCs w:val="20"/>
              </w:rPr>
            </w:pPr>
            <w:r w:rsidRPr="00E32856">
              <w:rPr>
                <w:rFonts w:ascii="Times New Roman" w:eastAsia="Calibri" w:hAnsi="Times New Roman" w:cs="Times New Roman"/>
                <w:sz w:val="20"/>
                <w:szCs w:val="20"/>
              </w:rPr>
              <w:lastRenderedPageBreak/>
              <w:t>3</w:t>
            </w:r>
            <w:r w:rsidR="00A42903">
              <w:rPr>
                <w:rFonts w:ascii="Times New Roman" w:eastAsia="Calibri" w:hAnsi="Times New Roman" w:cs="Times New Roman"/>
                <w:sz w:val="20"/>
                <w:szCs w:val="20"/>
              </w:rPr>
              <w:t>,</w:t>
            </w:r>
            <w:r w:rsidRPr="00E32856">
              <w:rPr>
                <w:rFonts w:ascii="Times New Roman" w:eastAsia="Calibri" w:hAnsi="Times New Roman" w:cs="Times New Roman"/>
                <w:sz w:val="20"/>
                <w:szCs w:val="20"/>
              </w:rPr>
              <w:t>000</w:t>
            </w:r>
            <w:r w:rsidR="00A42903">
              <w:rPr>
                <w:rFonts w:ascii="Times New Roman" w:eastAsia="Calibri" w:hAnsi="Times New Roman" w:cs="Times New Roman"/>
                <w:sz w:val="20"/>
                <w:szCs w:val="20"/>
              </w:rPr>
              <w:t xml:space="preserve"> €</w:t>
            </w:r>
            <w:r w:rsidRPr="00E32856">
              <w:rPr>
                <w:rFonts w:ascii="Times New Roman" w:eastAsia="Calibri" w:hAnsi="Times New Roman" w:cs="Times New Roman"/>
                <w:sz w:val="20"/>
                <w:szCs w:val="20"/>
              </w:rPr>
              <w:t xml:space="preserve"> X5vite</w:t>
            </w:r>
          </w:p>
        </w:tc>
      </w:tr>
    </w:tbl>
    <w:p w14:paraId="0B77A7AA" w14:textId="77777777" w:rsidR="00C325AA" w:rsidRPr="000D3717" w:rsidRDefault="00C325AA" w:rsidP="00C325AA">
      <w:pPr>
        <w:rPr>
          <w:rFonts w:ascii="Times New Roman" w:hAnsi="Times New Roman" w:cs="Times New Roman"/>
          <w:sz w:val="24"/>
          <w:szCs w:val="24"/>
        </w:rPr>
      </w:pPr>
    </w:p>
    <w:p w14:paraId="0867E7F9" w14:textId="77777777" w:rsidR="00C325AA" w:rsidRPr="000D3717" w:rsidRDefault="00A477AE" w:rsidP="00117147">
      <w:pPr>
        <w:pStyle w:val="Heading2"/>
        <w:rPr>
          <w:rFonts w:ascii="Times New Roman" w:hAnsi="Times New Roman" w:cs="Times New Roman"/>
          <w:sz w:val="24"/>
          <w:szCs w:val="24"/>
        </w:rPr>
      </w:pPr>
      <w:bookmarkStart w:id="19" w:name="_Toc532388164"/>
      <w:r w:rsidRPr="000D3717">
        <w:rPr>
          <w:rFonts w:ascii="Times New Roman" w:hAnsi="Times New Roman" w:cs="Times New Roman"/>
          <w:sz w:val="24"/>
          <w:szCs w:val="24"/>
        </w:rPr>
        <w:t>Ka</w:t>
      </w:r>
      <w:r w:rsidR="00117147" w:rsidRPr="000D3717">
        <w:rPr>
          <w:rFonts w:ascii="Times New Roman" w:hAnsi="Times New Roman" w:cs="Times New Roman"/>
          <w:sz w:val="24"/>
          <w:szCs w:val="24"/>
        </w:rPr>
        <w:t>p</w:t>
      </w:r>
      <w:r w:rsidRPr="000D3717">
        <w:rPr>
          <w:rFonts w:ascii="Times New Roman" w:hAnsi="Times New Roman" w:cs="Times New Roman"/>
          <w:sz w:val="24"/>
          <w:szCs w:val="24"/>
        </w:rPr>
        <w:t>i</w:t>
      </w:r>
      <w:r w:rsidR="00117147" w:rsidRPr="000D3717">
        <w:rPr>
          <w:rFonts w:ascii="Times New Roman" w:hAnsi="Times New Roman" w:cs="Times New Roman"/>
          <w:sz w:val="24"/>
          <w:szCs w:val="24"/>
        </w:rPr>
        <w:t>t</w:t>
      </w:r>
      <w:r w:rsidRPr="000D3717">
        <w:rPr>
          <w:rFonts w:ascii="Times New Roman" w:hAnsi="Times New Roman" w:cs="Times New Roman"/>
          <w:sz w:val="24"/>
          <w:szCs w:val="24"/>
        </w:rPr>
        <w:t>ulli</w:t>
      </w:r>
      <w:r w:rsidR="00117147" w:rsidRPr="000D3717">
        <w:rPr>
          <w:rFonts w:ascii="Times New Roman" w:hAnsi="Times New Roman" w:cs="Times New Roman"/>
          <w:sz w:val="24"/>
          <w:szCs w:val="24"/>
        </w:rPr>
        <w:t xml:space="preserve"> 6.2: </w:t>
      </w:r>
      <w:r w:rsidR="00623843" w:rsidRPr="000D3717">
        <w:rPr>
          <w:rFonts w:ascii="Times New Roman" w:hAnsi="Times New Roman" w:cs="Times New Roman"/>
          <w:sz w:val="24"/>
          <w:szCs w:val="24"/>
        </w:rPr>
        <w:t>Tabela e krahasimit me të tre opsionet</w:t>
      </w:r>
      <w:bookmarkEnd w:id="19"/>
      <w:r w:rsidR="00117147" w:rsidRPr="000D3717">
        <w:rPr>
          <w:rFonts w:ascii="Times New Roman" w:hAnsi="Times New Roman" w:cs="Times New Roman"/>
          <w:sz w:val="24"/>
          <w:szCs w:val="24"/>
        </w:rPr>
        <w:t xml:space="preserve"> </w:t>
      </w:r>
    </w:p>
    <w:p w14:paraId="153AEC50" w14:textId="77777777" w:rsidR="00AE6725" w:rsidRPr="000D3717" w:rsidRDefault="00AE6725" w:rsidP="00F55A14">
      <w:pPr>
        <w:pStyle w:val="Caption"/>
        <w:rPr>
          <w:rFonts w:ascii="Times New Roman" w:hAnsi="Times New Roman" w:cs="Times New Roman"/>
          <w:sz w:val="24"/>
          <w:szCs w:val="24"/>
        </w:rPr>
      </w:pPr>
    </w:p>
    <w:p w14:paraId="10887D07" w14:textId="77777777" w:rsidR="00F55A14" w:rsidRPr="000D3717" w:rsidRDefault="00F55A14" w:rsidP="00F55A14">
      <w:pPr>
        <w:pStyle w:val="Caption"/>
        <w:rPr>
          <w:rFonts w:ascii="Times New Roman" w:hAnsi="Times New Roman" w:cs="Times New Roman"/>
          <w:sz w:val="24"/>
          <w:szCs w:val="24"/>
        </w:rPr>
      </w:pPr>
      <w:r w:rsidRPr="000D3717">
        <w:rPr>
          <w:rFonts w:ascii="Times New Roman" w:hAnsi="Times New Roman" w:cs="Times New Roman"/>
          <w:sz w:val="24"/>
          <w:szCs w:val="24"/>
        </w:rPr>
        <w:t>Figur</w:t>
      </w:r>
      <w:r w:rsidR="00DF1651"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64305F" w:rsidRPr="000D3717">
        <w:rPr>
          <w:rFonts w:ascii="Times New Roman" w:hAnsi="Times New Roman" w:cs="Times New Roman"/>
          <w:sz w:val="24"/>
          <w:szCs w:val="24"/>
        </w:rPr>
        <w:fldChar w:fldCharType="begin"/>
      </w:r>
      <w:r w:rsidR="00180BB0" w:rsidRPr="000D3717">
        <w:rPr>
          <w:rFonts w:ascii="Times New Roman" w:hAnsi="Times New Roman" w:cs="Times New Roman"/>
          <w:sz w:val="24"/>
          <w:szCs w:val="24"/>
        </w:rPr>
        <w:instrText xml:space="preserve"> SEQ Figure \* ARABIC </w:instrText>
      </w:r>
      <w:r w:rsidR="0064305F" w:rsidRPr="000D3717">
        <w:rPr>
          <w:rFonts w:ascii="Times New Roman" w:hAnsi="Times New Roman" w:cs="Times New Roman"/>
          <w:sz w:val="24"/>
          <w:szCs w:val="24"/>
        </w:rPr>
        <w:fldChar w:fldCharType="separate"/>
      </w:r>
      <w:r w:rsidR="0095778A">
        <w:rPr>
          <w:rFonts w:ascii="Times New Roman" w:hAnsi="Times New Roman" w:cs="Times New Roman"/>
          <w:noProof/>
          <w:sz w:val="24"/>
          <w:szCs w:val="24"/>
        </w:rPr>
        <w:t>6</w:t>
      </w:r>
      <w:r w:rsidR="0064305F" w:rsidRPr="000D3717">
        <w:rPr>
          <w:rFonts w:ascii="Times New Roman" w:hAnsi="Times New Roman" w:cs="Times New Roman"/>
          <w:sz w:val="24"/>
          <w:szCs w:val="24"/>
        </w:rPr>
        <w:fldChar w:fldCharType="end"/>
      </w:r>
      <w:r w:rsidRPr="000D3717">
        <w:rPr>
          <w:rFonts w:ascii="Times New Roman" w:hAnsi="Times New Roman" w:cs="Times New Roman"/>
          <w:sz w:val="24"/>
          <w:szCs w:val="24"/>
        </w:rPr>
        <w:t xml:space="preserve">: </w:t>
      </w:r>
      <w:r w:rsidR="00DF1651" w:rsidRPr="000D3717">
        <w:rPr>
          <w:rFonts w:ascii="Times New Roman" w:hAnsi="Times New Roman" w:cs="Times New Roman"/>
          <w:sz w:val="24"/>
          <w:szCs w:val="24"/>
        </w:rPr>
        <w:t>Krahasimi i opsioneve</w:t>
      </w:r>
    </w:p>
    <w:tbl>
      <w:tblPr>
        <w:tblStyle w:val="TableGrid"/>
        <w:tblW w:w="5632" w:type="pct"/>
        <w:tblInd w:w="-455" w:type="dxa"/>
        <w:tblLook w:val="04A0" w:firstRow="1" w:lastRow="0" w:firstColumn="1" w:lastColumn="0" w:noHBand="0" w:noVBand="1"/>
      </w:tblPr>
      <w:tblGrid>
        <w:gridCol w:w="1750"/>
        <w:gridCol w:w="1004"/>
        <w:gridCol w:w="1003"/>
        <w:gridCol w:w="1005"/>
        <w:gridCol w:w="1003"/>
        <w:gridCol w:w="1003"/>
        <w:gridCol w:w="1005"/>
        <w:gridCol w:w="1005"/>
        <w:gridCol w:w="1005"/>
        <w:gridCol w:w="1003"/>
      </w:tblGrid>
      <w:tr w:rsidR="00F55A14" w:rsidRPr="000D3717" w14:paraId="00F616E9" w14:textId="77777777" w:rsidTr="002A0887">
        <w:tc>
          <w:tcPr>
            <w:tcW w:w="5000" w:type="pct"/>
            <w:gridSpan w:val="10"/>
          </w:tcPr>
          <w:p w14:paraId="5F311F5A" w14:textId="77777777" w:rsidR="00F55A14" w:rsidRPr="000D3717" w:rsidRDefault="00336118" w:rsidP="0075339D">
            <w:pPr>
              <w:rPr>
                <w:rFonts w:ascii="Times New Roman" w:hAnsi="Times New Roman" w:cs="Times New Roman"/>
                <w:b/>
                <w:sz w:val="24"/>
                <w:szCs w:val="24"/>
              </w:rPr>
            </w:pPr>
            <w:r w:rsidRPr="000D3717">
              <w:rPr>
                <w:rFonts w:ascii="Times New Roman" w:hAnsi="Times New Roman" w:cs="Times New Roman"/>
                <w:b/>
                <w:sz w:val="24"/>
                <w:szCs w:val="24"/>
              </w:rPr>
              <w:t>Metoda e krahasimit</w:t>
            </w:r>
            <w:r w:rsidR="00F55A14" w:rsidRPr="000D3717">
              <w:rPr>
                <w:rFonts w:ascii="Times New Roman" w:hAnsi="Times New Roman" w:cs="Times New Roman"/>
                <w:b/>
                <w:sz w:val="24"/>
                <w:szCs w:val="24"/>
              </w:rPr>
              <w:t xml:space="preserve">: </w:t>
            </w:r>
          </w:p>
          <w:p w14:paraId="7A8CA72B" w14:textId="77777777" w:rsidR="00F55A14" w:rsidRPr="000D3717" w:rsidRDefault="00F55A14" w:rsidP="0075339D">
            <w:pPr>
              <w:rPr>
                <w:rFonts w:ascii="Times New Roman" w:hAnsi="Times New Roman" w:cs="Times New Roman"/>
                <w:sz w:val="24"/>
                <w:szCs w:val="24"/>
              </w:rPr>
            </w:pPr>
          </w:p>
        </w:tc>
      </w:tr>
      <w:tr w:rsidR="00F55A14" w:rsidRPr="000D3717" w14:paraId="2796A5E6" w14:textId="77777777" w:rsidTr="007E669F">
        <w:tc>
          <w:tcPr>
            <w:tcW w:w="811" w:type="pct"/>
          </w:tcPr>
          <w:p w14:paraId="7BD9868A" w14:textId="77777777" w:rsidR="00F55A14" w:rsidRPr="000D3717" w:rsidRDefault="00F55A14" w:rsidP="0075339D">
            <w:pPr>
              <w:rPr>
                <w:rFonts w:ascii="Times New Roman" w:hAnsi="Times New Roman" w:cs="Times New Roman"/>
                <w:b/>
                <w:sz w:val="24"/>
                <w:szCs w:val="24"/>
              </w:rPr>
            </w:pPr>
          </w:p>
        </w:tc>
        <w:tc>
          <w:tcPr>
            <w:tcW w:w="1396" w:type="pct"/>
            <w:gridSpan w:val="3"/>
          </w:tcPr>
          <w:p w14:paraId="630B482E" w14:textId="77777777" w:rsidR="00F55A14" w:rsidRPr="000D3717" w:rsidRDefault="00F55A14" w:rsidP="00674773">
            <w:pPr>
              <w:rPr>
                <w:rFonts w:ascii="Times New Roman" w:hAnsi="Times New Roman" w:cs="Times New Roman"/>
                <w:b/>
                <w:sz w:val="24"/>
                <w:szCs w:val="24"/>
              </w:rPr>
            </w:pPr>
            <w:r w:rsidRPr="000D3717">
              <w:rPr>
                <w:rFonts w:ascii="Times New Roman" w:hAnsi="Times New Roman" w:cs="Times New Roman"/>
                <w:b/>
                <w:sz w:val="24"/>
                <w:szCs w:val="24"/>
              </w:rPr>
              <w:t>Op</w:t>
            </w:r>
            <w:r w:rsidR="00336118" w:rsidRPr="000D3717">
              <w:rPr>
                <w:rFonts w:ascii="Times New Roman" w:hAnsi="Times New Roman" w:cs="Times New Roman"/>
                <w:b/>
                <w:sz w:val="24"/>
                <w:szCs w:val="24"/>
              </w:rPr>
              <w:t>s</w:t>
            </w:r>
            <w:r w:rsidRPr="000D3717">
              <w:rPr>
                <w:rFonts w:ascii="Times New Roman" w:hAnsi="Times New Roman" w:cs="Times New Roman"/>
                <w:b/>
                <w:sz w:val="24"/>
                <w:szCs w:val="24"/>
              </w:rPr>
              <w:t>ion</w:t>
            </w:r>
            <w:r w:rsidR="00336118" w:rsidRPr="000D3717">
              <w:rPr>
                <w:rFonts w:ascii="Times New Roman" w:hAnsi="Times New Roman" w:cs="Times New Roman"/>
                <w:b/>
                <w:sz w:val="24"/>
                <w:szCs w:val="24"/>
              </w:rPr>
              <w:t>i</w:t>
            </w:r>
            <w:r w:rsidRPr="000D3717">
              <w:rPr>
                <w:rFonts w:ascii="Times New Roman" w:hAnsi="Times New Roman" w:cs="Times New Roman"/>
                <w:b/>
                <w:sz w:val="24"/>
                <w:szCs w:val="24"/>
              </w:rPr>
              <w:t xml:space="preserve"> 1: </w:t>
            </w:r>
            <w:r w:rsidR="00674773" w:rsidRPr="000D3717">
              <w:rPr>
                <w:rFonts w:ascii="Times New Roman" w:hAnsi="Times New Roman" w:cs="Times New Roman"/>
                <w:b/>
                <w:sz w:val="24"/>
                <w:szCs w:val="24"/>
              </w:rPr>
              <w:t>A</w:t>
            </w:r>
            <w:r w:rsidR="00336118" w:rsidRPr="000D3717">
              <w:rPr>
                <w:rFonts w:ascii="Times New Roman" w:hAnsi="Times New Roman" w:cs="Times New Roman"/>
                <w:b/>
                <w:sz w:val="24"/>
                <w:szCs w:val="24"/>
              </w:rPr>
              <w:t>snjë ndryshim</w:t>
            </w:r>
          </w:p>
        </w:tc>
        <w:tc>
          <w:tcPr>
            <w:tcW w:w="1396" w:type="pct"/>
            <w:gridSpan w:val="3"/>
          </w:tcPr>
          <w:p w14:paraId="42DCEF3E" w14:textId="77777777" w:rsidR="00F55A14" w:rsidRPr="000D3717" w:rsidRDefault="00F55A14" w:rsidP="00336118">
            <w:pPr>
              <w:rPr>
                <w:rFonts w:ascii="Times New Roman" w:hAnsi="Times New Roman" w:cs="Times New Roman"/>
                <w:b/>
                <w:sz w:val="24"/>
                <w:szCs w:val="24"/>
              </w:rPr>
            </w:pPr>
            <w:r w:rsidRPr="000D3717">
              <w:rPr>
                <w:rFonts w:ascii="Times New Roman" w:hAnsi="Times New Roman" w:cs="Times New Roman"/>
                <w:b/>
                <w:sz w:val="24"/>
                <w:szCs w:val="24"/>
              </w:rPr>
              <w:t>Op</w:t>
            </w:r>
            <w:r w:rsidR="00336118" w:rsidRPr="000D3717">
              <w:rPr>
                <w:rFonts w:ascii="Times New Roman" w:hAnsi="Times New Roman" w:cs="Times New Roman"/>
                <w:b/>
                <w:sz w:val="24"/>
                <w:szCs w:val="24"/>
              </w:rPr>
              <w:t>s</w:t>
            </w:r>
            <w:r w:rsidRPr="000D3717">
              <w:rPr>
                <w:rFonts w:ascii="Times New Roman" w:hAnsi="Times New Roman" w:cs="Times New Roman"/>
                <w:b/>
                <w:sz w:val="24"/>
                <w:szCs w:val="24"/>
              </w:rPr>
              <w:t>ion</w:t>
            </w:r>
            <w:r w:rsidR="00336118" w:rsidRPr="000D3717">
              <w:rPr>
                <w:rFonts w:ascii="Times New Roman" w:hAnsi="Times New Roman" w:cs="Times New Roman"/>
                <w:b/>
                <w:sz w:val="24"/>
                <w:szCs w:val="24"/>
              </w:rPr>
              <w:t>i</w:t>
            </w:r>
            <w:r w:rsidRPr="000D3717">
              <w:rPr>
                <w:rFonts w:ascii="Times New Roman" w:hAnsi="Times New Roman" w:cs="Times New Roman"/>
                <w:b/>
                <w:sz w:val="24"/>
                <w:szCs w:val="24"/>
              </w:rPr>
              <w:t xml:space="preserve"> 2: </w:t>
            </w:r>
            <w:r w:rsidR="00336118" w:rsidRPr="000D3717">
              <w:rPr>
                <w:rFonts w:ascii="Times New Roman" w:hAnsi="Times New Roman" w:cs="Times New Roman"/>
                <w:b/>
                <w:sz w:val="24"/>
                <w:szCs w:val="24"/>
              </w:rPr>
              <w:t>Përmirësimi i zbatimit dhe ekzekutimit</w:t>
            </w:r>
          </w:p>
        </w:tc>
        <w:tc>
          <w:tcPr>
            <w:tcW w:w="1397" w:type="pct"/>
            <w:gridSpan w:val="3"/>
          </w:tcPr>
          <w:p w14:paraId="30D2F1E5" w14:textId="1EF7C9A8" w:rsidR="00F55A14" w:rsidRPr="000D3717" w:rsidRDefault="00F55A14" w:rsidP="00695808">
            <w:pPr>
              <w:rPr>
                <w:rFonts w:ascii="Times New Roman" w:hAnsi="Times New Roman" w:cs="Times New Roman"/>
                <w:b/>
                <w:sz w:val="24"/>
                <w:szCs w:val="24"/>
              </w:rPr>
            </w:pPr>
            <w:r w:rsidRPr="000D3717">
              <w:rPr>
                <w:rFonts w:ascii="Times New Roman" w:hAnsi="Times New Roman" w:cs="Times New Roman"/>
                <w:b/>
                <w:sz w:val="24"/>
                <w:szCs w:val="24"/>
              </w:rPr>
              <w:t>Op</w:t>
            </w:r>
            <w:r w:rsidR="00336118" w:rsidRPr="000D3717">
              <w:rPr>
                <w:rFonts w:ascii="Times New Roman" w:hAnsi="Times New Roman" w:cs="Times New Roman"/>
                <w:b/>
                <w:sz w:val="24"/>
                <w:szCs w:val="24"/>
              </w:rPr>
              <w:t>s</w:t>
            </w:r>
            <w:r w:rsidRPr="000D3717">
              <w:rPr>
                <w:rFonts w:ascii="Times New Roman" w:hAnsi="Times New Roman" w:cs="Times New Roman"/>
                <w:b/>
                <w:sz w:val="24"/>
                <w:szCs w:val="24"/>
              </w:rPr>
              <w:t>ion</w:t>
            </w:r>
            <w:r w:rsidR="00336118" w:rsidRPr="000D3717">
              <w:rPr>
                <w:rFonts w:ascii="Times New Roman" w:hAnsi="Times New Roman" w:cs="Times New Roman"/>
                <w:b/>
                <w:sz w:val="24"/>
                <w:szCs w:val="24"/>
              </w:rPr>
              <w:t>i</w:t>
            </w:r>
            <w:r w:rsidRPr="000D3717">
              <w:rPr>
                <w:rFonts w:ascii="Times New Roman" w:hAnsi="Times New Roman" w:cs="Times New Roman"/>
                <w:b/>
                <w:sz w:val="24"/>
                <w:szCs w:val="24"/>
              </w:rPr>
              <w:t xml:space="preserve"> 3: </w:t>
            </w:r>
            <w:r w:rsidR="00827A96" w:rsidRPr="000D3717">
              <w:rPr>
                <w:rFonts w:ascii="Times New Roman" w:hAnsi="Times New Roman" w:cs="Times New Roman"/>
                <w:b/>
                <w:sz w:val="24"/>
                <w:szCs w:val="24"/>
              </w:rPr>
              <w:t>Ngritja e kapaciteteve profesionale</w:t>
            </w:r>
            <w:r w:rsidR="008753CB">
              <w:rPr>
                <w:rFonts w:ascii="Times New Roman" w:hAnsi="Times New Roman" w:cs="Times New Roman"/>
                <w:b/>
                <w:sz w:val="24"/>
                <w:szCs w:val="24"/>
              </w:rPr>
              <w:t xml:space="preserve"> të </w:t>
            </w:r>
            <w:r w:rsidR="00827A96" w:rsidRPr="000D3717">
              <w:rPr>
                <w:rFonts w:ascii="Times New Roman" w:hAnsi="Times New Roman" w:cs="Times New Roman"/>
                <w:b/>
                <w:sz w:val="24"/>
                <w:szCs w:val="24"/>
              </w:rPr>
              <w:t>AKK</w:t>
            </w:r>
          </w:p>
        </w:tc>
      </w:tr>
      <w:tr w:rsidR="00F55A14" w:rsidRPr="000D3717" w14:paraId="5FCEF50D" w14:textId="77777777" w:rsidTr="007E669F">
        <w:tc>
          <w:tcPr>
            <w:tcW w:w="811" w:type="pct"/>
          </w:tcPr>
          <w:p w14:paraId="59673BE0"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b/>
                <w:sz w:val="24"/>
                <w:szCs w:val="24"/>
              </w:rPr>
              <w:t>Ndikimet relevante pozitive</w:t>
            </w:r>
          </w:p>
        </w:tc>
        <w:tc>
          <w:tcPr>
            <w:tcW w:w="1396" w:type="pct"/>
            <w:gridSpan w:val="3"/>
          </w:tcPr>
          <w:p w14:paraId="6870D99D"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ketë ndikim pozitiv</w:t>
            </w:r>
          </w:p>
        </w:tc>
        <w:tc>
          <w:tcPr>
            <w:tcW w:w="1396" w:type="pct"/>
            <w:gridSpan w:val="3"/>
          </w:tcPr>
          <w:p w14:paraId="4C5942B0"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adresoj problemin e identifikuar duke ulur ndikimin e efekteve </w:t>
            </w:r>
          </w:p>
        </w:tc>
        <w:tc>
          <w:tcPr>
            <w:tcW w:w="1397" w:type="pct"/>
            <w:gridSpan w:val="3"/>
          </w:tcPr>
          <w:p w14:paraId="17602DEF"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ketë ndikim n</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adresimin e problemit n</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masën e duhur si dhe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ketë kosto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lart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n</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buxhet.</w:t>
            </w:r>
          </w:p>
        </w:tc>
      </w:tr>
      <w:tr w:rsidR="00F55A14" w:rsidRPr="000D3717" w14:paraId="46CE8F9E" w14:textId="77777777" w:rsidTr="007E669F">
        <w:tc>
          <w:tcPr>
            <w:tcW w:w="811" w:type="pct"/>
          </w:tcPr>
          <w:p w14:paraId="219BDBA6" w14:textId="77777777" w:rsidR="007E669F" w:rsidRPr="000D3717" w:rsidRDefault="007E669F" w:rsidP="0075339D">
            <w:pPr>
              <w:rPr>
                <w:rFonts w:ascii="Times New Roman" w:hAnsi="Times New Roman" w:cs="Times New Roman"/>
                <w:b/>
                <w:sz w:val="24"/>
                <w:szCs w:val="24"/>
              </w:rPr>
            </w:pPr>
          </w:p>
          <w:p w14:paraId="734646AB" w14:textId="77777777" w:rsidR="00F55A14" w:rsidRPr="000D3717" w:rsidRDefault="00336118" w:rsidP="00336118">
            <w:pPr>
              <w:rPr>
                <w:rFonts w:ascii="Times New Roman" w:hAnsi="Times New Roman" w:cs="Times New Roman"/>
                <w:sz w:val="24"/>
                <w:szCs w:val="24"/>
              </w:rPr>
            </w:pPr>
            <w:r w:rsidRPr="000D3717">
              <w:rPr>
                <w:rFonts w:ascii="Times New Roman" w:hAnsi="Times New Roman" w:cs="Times New Roman"/>
                <w:b/>
                <w:sz w:val="24"/>
                <w:szCs w:val="24"/>
              </w:rPr>
              <w:t>Ndikimet relevante negative</w:t>
            </w:r>
          </w:p>
        </w:tc>
        <w:tc>
          <w:tcPr>
            <w:tcW w:w="1396" w:type="pct"/>
            <w:gridSpan w:val="3"/>
          </w:tcPr>
          <w:p w14:paraId="6A120661"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ruaj status </w:t>
            </w:r>
            <w:proofErr w:type="spellStart"/>
            <w:r w:rsidRPr="000D3717">
              <w:rPr>
                <w:rFonts w:ascii="Times New Roman" w:hAnsi="Times New Roman" w:cs="Times New Roman"/>
                <w:sz w:val="24"/>
                <w:szCs w:val="24"/>
              </w:rPr>
              <w:t>quon</w:t>
            </w:r>
            <w:proofErr w:type="spellEnd"/>
            <w:r w:rsidRPr="000D3717">
              <w:rPr>
                <w:rFonts w:ascii="Times New Roman" w:hAnsi="Times New Roman" w:cs="Times New Roman"/>
                <w:sz w:val="24"/>
                <w:szCs w:val="24"/>
              </w:rPr>
              <w:t xml:space="preserve"> e problemit kryesor</w:t>
            </w:r>
          </w:p>
        </w:tc>
        <w:tc>
          <w:tcPr>
            <w:tcW w:w="1396" w:type="pct"/>
            <w:gridSpan w:val="3"/>
          </w:tcPr>
          <w:p w14:paraId="508BA59B"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ketë ndikim negativ</w:t>
            </w:r>
          </w:p>
        </w:tc>
        <w:tc>
          <w:tcPr>
            <w:tcW w:w="1397" w:type="pct"/>
            <w:gridSpan w:val="3"/>
          </w:tcPr>
          <w:p w14:paraId="185D1A81" w14:textId="522FC0B0" w:rsidR="00F55A14" w:rsidRPr="000D3717" w:rsidRDefault="00827A96">
            <w:pPr>
              <w:rPr>
                <w:rFonts w:ascii="Times New Roman" w:hAnsi="Times New Roman" w:cs="Times New Roman"/>
                <w:sz w:val="24"/>
                <w:szCs w:val="24"/>
              </w:rPr>
            </w:pPr>
            <w:r w:rsidRPr="000D3717">
              <w:rPr>
                <w:rFonts w:ascii="Times New Roman" w:hAnsi="Times New Roman" w:cs="Times New Roman"/>
                <w:sz w:val="24"/>
                <w:szCs w:val="24"/>
              </w:rPr>
              <w:t>N</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mas</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madhe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ruaj status </w:t>
            </w:r>
            <w:proofErr w:type="spellStart"/>
            <w:r w:rsidRPr="000D3717">
              <w:rPr>
                <w:rFonts w:ascii="Times New Roman" w:hAnsi="Times New Roman" w:cs="Times New Roman"/>
                <w:sz w:val="24"/>
                <w:szCs w:val="24"/>
              </w:rPr>
              <w:t>quo</w:t>
            </w:r>
            <w:r w:rsidR="00EE2866">
              <w:rPr>
                <w:rFonts w:ascii="Times New Roman" w:hAnsi="Times New Roman" w:cs="Times New Roman"/>
                <w:sz w:val="24"/>
                <w:szCs w:val="24"/>
              </w:rPr>
              <w:t>n</w:t>
            </w:r>
            <w:proofErr w:type="spellEnd"/>
            <w:r w:rsidRPr="000D3717">
              <w:rPr>
                <w:rFonts w:ascii="Times New Roman" w:hAnsi="Times New Roman" w:cs="Times New Roman"/>
                <w:sz w:val="24"/>
                <w:szCs w:val="24"/>
              </w:rPr>
              <w:t xml:space="preserve"> ose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rendoj peshën e efekteve </w:t>
            </w:r>
            <w:r w:rsidR="008753CB">
              <w:rPr>
                <w:rFonts w:ascii="Times New Roman" w:hAnsi="Times New Roman" w:cs="Times New Roman"/>
                <w:sz w:val="24"/>
                <w:szCs w:val="24"/>
              </w:rPr>
              <w:t xml:space="preserve"> të </w:t>
            </w:r>
            <w:r w:rsidR="00EE2866">
              <w:rPr>
                <w:rFonts w:ascii="Times New Roman" w:hAnsi="Times New Roman" w:cs="Times New Roman"/>
                <w:sz w:val="24"/>
                <w:szCs w:val="24"/>
              </w:rPr>
              <w:t xml:space="preserve">identifikuara edhe pse nuk </w:t>
            </w:r>
            <w:r w:rsidRPr="000D3717">
              <w:rPr>
                <w:rFonts w:ascii="Times New Roman" w:hAnsi="Times New Roman" w:cs="Times New Roman"/>
                <w:sz w:val="24"/>
                <w:szCs w:val="24"/>
              </w:rPr>
              <w:t>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ketë ndikim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lart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n</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buxhet. </w:t>
            </w:r>
          </w:p>
        </w:tc>
      </w:tr>
      <w:tr w:rsidR="00F55A14" w:rsidRPr="000D3717" w14:paraId="0A35BEDF" w14:textId="77777777" w:rsidTr="007E669F">
        <w:tc>
          <w:tcPr>
            <w:tcW w:w="811" w:type="pct"/>
          </w:tcPr>
          <w:p w14:paraId="7D68888C" w14:textId="77777777" w:rsidR="00F55A14" w:rsidRPr="000D3717" w:rsidRDefault="00336118" w:rsidP="0075339D">
            <w:pPr>
              <w:rPr>
                <w:rFonts w:ascii="Times New Roman" w:hAnsi="Times New Roman" w:cs="Times New Roman"/>
                <w:sz w:val="24"/>
                <w:szCs w:val="24"/>
              </w:rPr>
            </w:pPr>
            <w:r w:rsidRPr="000D3717">
              <w:rPr>
                <w:rFonts w:ascii="Times New Roman" w:hAnsi="Times New Roman" w:cs="Times New Roman"/>
                <w:b/>
                <w:sz w:val="24"/>
                <w:szCs w:val="24"/>
              </w:rPr>
              <w:t>Kostot relevante</w:t>
            </w:r>
          </w:p>
        </w:tc>
        <w:tc>
          <w:tcPr>
            <w:tcW w:w="1396" w:type="pct"/>
            <w:gridSpan w:val="3"/>
          </w:tcPr>
          <w:p w14:paraId="2E4B4F22"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Nuk 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krijoj kosto shtese</w:t>
            </w:r>
          </w:p>
        </w:tc>
        <w:tc>
          <w:tcPr>
            <w:tcW w:w="1396" w:type="pct"/>
            <w:gridSpan w:val="3"/>
          </w:tcPr>
          <w:p w14:paraId="1A2790F6"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krijoj kosto shtese. </w:t>
            </w:r>
          </w:p>
        </w:tc>
        <w:tc>
          <w:tcPr>
            <w:tcW w:w="1397" w:type="pct"/>
            <w:gridSpan w:val="3"/>
          </w:tcPr>
          <w:p w14:paraId="7AF0FD63" w14:textId="77777777" w:rsidR="00F55A14" w:rsidRPr="000D3717" w:rsidRDefault="00827A96" w:rsidP="0075339D">
            <w:pPr>
              <w:rPr>
                <w:rFonts w:ascii="Times New Roman" w:hAnsi="Times New Roman" w:cs="Times New Roman"/>
                <w:sz w:val="24"/>
                <w:szCs w:val="24"/>
              </w:rPr>
            </w:pPr>
            <w:r w:rsidRPr="000D3717">
              <w:rPr>
                <w:rFonts w:ascii="Times New Roman" w:hAnsi="Times New Roman" w:cs="Times New Roman"/>
                <w:sz w:val="24"/>
                <w:szCs w:val="24"/>
              </w:rPr>
              <w:t>Do t</w:t>
            </w:r>
            <w:r w:rsidR="00511DD8">
              <w:rPr>
                <w:rFonts w:ascii="Times New Roman" w:hAnsi="Times New Roman" w:cs="Times New Roman"/>
                <w:sz w:val="24"/>
                <w:szCs w:val="24"/>
              </w:rPr>
              <w:t>ë</w:t>
            </w:r>
            <w:r w:rsidRPr="000D3717">
              <w:rPr>
                <w:rFonts w:ascii="Times New Roman" w:hAnsi="Times New Roman" w:cs="Times New Roman"/>
                <w:sz w:val="24"/>
                <w:szCs w:val="24"/>
              </w:rPr>
              <w:t xml:space="preserve"> krijoj kosto shtese.</w:t>
            </w:r>
          </w:p>
        </w:tc>
      </w:tr>
      <w:tr w:rsidR="007E669F" w:rsidRPr="000D3717" w14:paraId="7CF196A9" w14:textId="77777777" w:rsidTr="007E669F">
        <w:trPr>
          <w:trHeight w:val="405"/>
        </w:trPr>
        <w:tc>
          <w:tcPr>
            <w:tcW w:w="811" w:type="pct"/>
            <w:vMerge w:val="restart"/>
          </w:tcPr>
          <w:p w14:paraId="4AE826E3" w14:textId="77777777" w:rsidR="007E669F" w:rsidRPr="000D3717" w:rsidRDefault="0064622A" w:rsidP="007E669F">
            <w:pPr>
              <w:rPr>
                <w:rFonts w:ascii="Times New Roman" w:hAnsi="Times New Roman" w:cs="Times New Roman"/>
                <w:b/>
                <w:sz w:val="24"/>
                <w:szCs w:val="24"/>
              </w:rPr>
            </w:pPr>
            <w:r w:rsidRPr="000D3717">
              <w:rPr>
                <w:rFonts w:ascii="Times New Roman" w:hAnsi="Times New Roman" w:cs="Times New Roman"/>
                <w:b/>
                <w:sz w:val="24"/>
                <w:szCs w:val="24"/>
              </w:rPr>
              <w:t>Vlerësimi i ndikimit të pritshëm buxhetor</w:t>
            </w:r>
          </w:p>
        </w:tc>
        <w:tc>
          <w:tcPr>
            <w:tcW w:w="465" w:type="pct"/>
          </w:tcPr>
          <w:p w14:paraId="47289CF2"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1</w:t>
            </w:r>
          </w:p>
        </w:tc>
        <w:tc>
          <w:tcPr>
            <w:tcW w:w="465" w:type="pct"/>
          </w:tcPr>
          <w:p w14:paraId="7C19B884"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2</w:t>
            </w:r>
          </w:p>
        </w:tc>
        <w:tc>
          <w:tcPr>
            <w:tcW w:w="466" w:type="pct"/>
          </w:tcPr>
          <w:p w14:paraId="01C8A089"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3</w:t>
            </w:r>
          </w:p>
        </w:tc>
        <w:tc>
          <w:tcPr>
            <w:tcW w:w="465" w:type="pct"/>
          </w:tcPr>
          <w:p w14:paraId="08C34F8F"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1</w:t>
            </w:r>
          </w:p>
        </w:tc>
        <w:tc>
          <w:tcPr>
            <w:tcW w:w="465" w:type="pct"/>
          </w:tcPr>
          <w:p w14:paraId="47CFE5BC"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2</w:t>
            </w:r>
          </w:p>
        </w:tc>
        <w:tc>
          <w:tcPr>
            <w:tcW w:w="466" w:type="pct"/>
          </w:tcPr>
          <w:p w14:paraId="0DAD4464"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3</w:t>
            </w:r>
          </w:p>
        </w:tc>
        <w:tc>
          <w:tcPr>
            <w:tcW w:w="466" w:type="pct"/>
          </w:tcPr>
          <w:p w14:paraId="4B25787C"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1</w:t>
            </w:r>
          </w:p>
        </w:tc>
        <w:tc>
          <w:tcPr>
            <w:tcW w:w="466" w:type="pct"/>
          </w:tcPr>
          <w:p w14:paraId="778C03D0"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2</w:t>
            </w:r>
          </w:p>
        </w:tc>
        <w:tc>
          <w:tcPr>
            <w:tcW w:w="465" w:type="pct"/>
          </w:tcPr>
          <w:p w14:paraId="517B2970" w14:textId="77777777" w:rsidR="007E669F" w:rsidRPr="000D3717" w:rsidRDefault="00336118" w:rsidP="007E669F">
            <w:pPr>
              <w:rPr>
                <w:rFonts w:ascii="Times New Roman" w:hAnsi="Times New Roman" w:cs="Times New Roman"/>
                <w:sz w:val="24"/>
                <w:szCs w:val="24"/>
              </w:rPr>
            </w:pPr>
            <w:r w:rsidRPr="000D3717">
              <w:rPr>
                <w:rFonts w:ascii="Times New Roman" w:hAnsi="Times New Roman" w:cs="Times New Roman"/>
                <w:sz w:val="24"/>
                <w:szCs w:val="24"/>
              </w:rPr>
              <w:t>Viti</w:t>
            </w:r>
            <w:r w:rsidR="007E669F" w:rsidRPr="000D3717">
              <w:rPr>
                <w:rFonts w:ascii="Times New Roman" w:hAnsi="Times New Roman" w:cs="Times New Roman"/>
                <w:sz w:val="24"/>
                <w:szCs w:val="24"/>
              </w:rPr>
              <w:t xml:space="preserve"> 3</w:t>
            </w:r>
          </w:p>
        </w:tc>
      </w:tr>
      <w:tr w:rsidR="007E669F" w:rsidRPr="000D3717" w14:paraId="36506031" w14:textId="77777777" w:rsidTr="007E669F">
        <w:trPr>
          <w:trHeight w:val="405"/>
        </w:trPr>
        <w:tc>
          <w:tcPr>
            <w:tcW w:w="811" w:type="pct"/>
            <w:vMerge/>
          </w:tcPr>
          <w:p w14:paraId="5B2DBD97" w14:textId="77777777" w:rsidR="007E669F" w:rsidRPr="000D3717" w:rsidRDefault="007E669F" w:rsidP="007E669F">
            <w:pPr>
              <w:rPr>
                <w:rFonts w:ascii="Times New Roman" w:hAnsi="Times New Roman" w:cs="Times New Roman"/>
                <w:b/>
                <w:sz w:val="24"/>
                <w:szCs w:val="24"/>
              </w:rPr>
            </w:pPr>
          </w:p>
        </w:tc>
        <w:tc>
          <w:tcPr>
            <w:tcW w:w="465" w:type="pct"/>
          </w:tcPr>
          <w:p w14:paraId="04CF2ECA"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0</w:t>
            </w:r>
          </w:p>
        </w:tc>
        <w:tc>
          <w:tcPr>
            <w:tcW w:w="465" w:type="pct"/>
          </w:tcPr>
          <w:p w14:paraId="1B42A233"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0</w:t>
            </w:r>
          </w:p>
        </w:tc>
        <w:tc>
          <w:tcPr>
            <w:tcW w:w="466" w:type="pct"/>
          </w:tcPr>
          <w:p w14:paraId="66553573"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0</w:t>
            </w:r>
          </w:p>
        </w:tc>
        <w:tc>
          <w:tcPr>
            <w:tcW w:w="465" w:type="pct"/>
          </w:tcPr>
          <w:p w14:paraId="6DF05C15" w14:textId="61DF4FC1"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110,800 €</w:t>
            </w:r>
          </w:p>
        </w:tc>
        <w:tc>
          <w:tcPr>
            <w:tcW w:w="465" w:type="pct"/>
          </w:tcPr>
          <w:p w14:paraId="390993A1" w14:textId="0C1AA513"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148,960 €</w:t>
            </w:r>
          </w:p>
        </w:tc>
        <w:tc>
          <w:tcPr>
            <w:tcW w:w="466" w:type="pct"/>
          </w:tcPr>
          <w:p w14:paraId="3F716706" w14:textId="07A75402"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137,960 €</w:t>
            </w:r>
          </w:p>
        </w:tc>
        <w:tc>
          <w:tcPr>
            <w:tcW w:w="466" w:type="pct"/>
          </w:tcPr>
          <w:p w14:paraId="7C8A1B5B" w14:textId="71BF4AB2"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4,000 €</w:t>
            </w:r>
          </w:p>
        </w:tc>
        <w:tc>
          <w:tcPr>
            <w:tcW w:w="466" w:type="pct"/>
          </w:tcPr>
          <w:p w14:paraId="59486B84" w14:textId="18F8C329"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4,000 €</w:t>
            </w:r>
          </w:p>
        </w:tc>
        <w:tc>
          <w:tcPr>
            <w:tcW w:w="465" w:type="pct"/>
          </w:tcPr>
          <w:p w14:paraId="4A5191BA" w14:textId="7DBBBC23" w:rsidR="007E669F" w:rsidRPr="000D3717" w:rsidRDefault="00DE300F" w:rsidP="007E669F">
            <w:pPr>
              <w:rPr>
                <w:rFonts w:ascii="Times New Roman" w:hAnsi="Times New Roman" w:cs="Times New Roman"/>
                <w:sz w:val="24"/>
                <w:szCs w:val="24"/>
              </w:rPr>
            </w:pPr>
            <w:r>
              <w:rPr>
                <w:rFonts w:ascii="Times New Roman" w:hAnsi="Times New Roman" w:cs="Times New Roman"/>
                <w:sz w:val="24"/>
                <w:szCs w:val="24"/>
              </w:rPr>
              <w:t>4,000 €</w:t>
            </w:r>
          </w:p>
        </w:tc>
      </w:tr>
      <w:tr w:rsidR="007E669F" w:rsidRPr="000D3717" w14:paraId="7C362EF9" w14:textId="77777777" w:rsidTr="007E669F">
        <w:tc>
          <w:tcPr>
            <w:tcW w:w="811" w:type="pct"/>
          </w:tcPr>
          <w:p w14:paraId="4487068D" w14:textId="77777777" w:rsidR="007E669F" w:rsidRPr="000D3717" w:rsidRDefault="00C13D3C" w:rsidP="007E669F">
            <w:pPr>
              <w:rPr>
                <w:rFonts w:ascii="Times New Roman" w:hAnsi="Times New Roman" w:cs="Times New Roman"/>
                <w:b/>
                <w:sz w:val="24"/>
                <w:szCs w:val="24"/>
              </w:rPr>
            </w:pPr>
            <w:r w:rsidRPr="000D3717">
              <w:rPr>
                <w:rFonts w:ascii="Times New Roman" w:hAnsi="Times New Roman" w:cs="Times New Roman"/>
                <w:b/>
                <w:sz w:val="24"/>
                <w:szCs w:val="24"/>
              </w:rPr>
              <w:t>Përfundimi</w:t>
            </w:r>
            <w:r w:rsidR="007E669F" w:rsidRPr="000D3717">
              <w:rPr>
                <w:rFonts w:ascii="Times New Roman" w:hAnsi="Times New Roman" w:cs="Times New Roman"/>
                <w:b/>
                <w:sz w:val="24"/>
                <w:szCs w:val="24"/>
              </w:rPr>
              <w:t xml:space="preserve"> </w:t>
            </w:r>
          </w:p>
        </w:tc>
        <w:tc>
          <w:tcPr>
            <w:tcW w:w="1396" w:type="pct"/>
            <w:gridSpan w:val="3"/>
          </w:tcPr>
          <w:p w14:paraId="0B132565"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Nuk Rekomandohet</w:t>
            </w:r>
          </w:p>
        </w:tc>
        <w:tc>
          <w:tcPr>
            <w:tcW w:w="1396" w:type="pct"/>
            <w:gridSpan w:val="3"/>
          </w:tcPr>
          <w:p w14:paraId="788E42D1"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Opsion i Rekomanduar</w:t>
            </w:r>
          </w:p>
        </w:tc>
        <w:tc>
          <w:tcPr>
            <w:tcW w:w="1397" w:type="pct"/>
            <w:gridSpan w:val="3"/>
          </w:tcPr>
          <w:p w14:paraId="04A655CC" w14:textId="77777777" w:rsidR="007E669F" w:rsidRPr="000D3717" w:rsidRDefault="00827A96" w:rsidP="007E669F">
            <w:pPr>
              <w:rPr>
                <w:rFonts w:ascii="Times New Roman" w:hAnsi="Times New Roman" w:cs="Times New Roman"/>
                <w:sz w:val="24"/>
                <w:szCs w:val="24"/>
              </w:rPr>
            </w:pPr>
            <w:r w:rsidRPr="000D3717">
              <w:rPr>
                <w:rFonts w:ascii="Times New Roman" w:hAnsi="Times New Roman" w:cs="Times New Roman"/>
                <w:sz w:val="24"/>
                <w:szCs w:val="24"/>
              </w:rPr>
              <w:t>Nuk Rekomandohet</w:t>
            </w:r>
          </w:p>
        </w:tc>
      </w:tr>
    </w:tbl>
    <w:p w14:paraId="45B50BAE" w14:textId="77777777" w:rsidR="00F55A14" w:rsidRPr="000D3717" w:rsidRDefault="00F55A14" w:rsidP="0075339D">
      <w:pPr>
        <w:rPr>
          <w:rFonts w:ascii="Times New Roman" w:hAnsi="Times New Roman" w:cs="Times New Roman"/>
          <w:sz w:val="24"/>
          <w:szCs w:val="24"/>
        </w:rPr>
      </w:pPr>
    </w:p>
    <w:p w14:paraId="4D8DEA8D" w14:textId="77777777" w:rsidR="0075339D" w:rsidRPr="000D3717" w:rsidRDefault="00180BB0" w:rsidP="00A61B6E">
      <w:pPr>
        <w:pStyle w:val="Heading1"/>
        <w:rPr>
          <w:rFonts w:ascii="Times New Roman" w:hAnsi="Times New Roman" w:cs="Times New Roman"/>
          <w:sz w:val="24"/>
          <w:szCs w:val="24"/>
        </w:rPr>
      </w:pPr>
      <w:bookmarkStart w:id="20" w:name="_Toc532388165"/>
      <w:r w:rsidRPr="000D3717">
        <w:rPr>
          <w:rFonts w:ascii="Times New Roman" w:hAnsi="Times New Roman" w:cs="Times New Roman"/>
          <w:sz w:val="24"/>
          <w:szCs w:val="24"/>
        </w:rPr>
        <w:t>Kapitulli</w:t>
      </w:r>
      <w:r w:rsidR="0075339D" w:rsidRPr="000D3717">
        <w:rPr>
          <w:rFonts w:ascii="Times New Roman" w:hAnsi="Times New Roman" w:cs="Times New Roman"/>
          <w:sz w:val="24"/>
          <w:szCs w:val="24"/>
        </w:rPr>
        <w:t xml:space="preserve"> 7: </w:t>
      </w:r>
      <w:r w:rsidRPr="000D3717">
        <w:rPr>
          <w:rFonts w:ascii="Times New Roman" w:hAnsi="Times New Roman" w:cs="Times New Roman"/>
          <w:sz w:val="24"/>
          <w:szCs w:val="24"/>
        </w:rPr>
        <w:t>Konkluzionet dhe hapat e ardhshëm</w:t>
      </w:r>
      <w:bookmarkEnd w:id="20"/>
    </w:p>
    <w:p w14:paraId="586C02FB" w14:textId="77777777" w:rsidR="00827A96" w:rsidRPr="000D3717" w:rsidRDefault="00827A96" w:rsidP="00E43229">
      <w:pPr>
        <w:rPr>
          <w:rFonts w:ascii="Times New Roman" w:eastAsia="MS Mincho" w:hAnsi="Times New Roman" w:cs="Times New Roman"/>
          <w:sz w:val="24"/>
          <w:szCs w:val="24"/>
        </w:rPr>
      </w:pPr>
    </w:p>
    <w:p w14:paraId="42BB3645" w14:textId="75AC201E" w:rsidR="00E43229" w:rsidRPr="000D3717" w:rsidRDefault="00E43229" w:rsidP="00E43229">
      <w:pPr>
        <w:rPr>
          <w:rFonts w:ascii="Times New Roman" w:eastAsia="MS Mincho" w:hAnsi="Times New Roman" w:cs="Times New Roman"/>
          <w:sz w:val="24"/>
          <w:szCs w:val="24"/>
        </w:rPr>
      </w:pPr>
      <w:r w:rsidRPr="000D3717">
        <w:rPr>
          <w:rFonts w:ascii="Times New Roman" w:eastAsia="MS Mincho" w:hAnsi="Times New Roman" w:cs="Times New Roman"/>
          <w:sz w:val="24"/>
          <w:szCs w:val="24"/>
        </w:rPr>
        <w:t>Sipas të gjitha analizave të bëra nga ky Koncept Dokument, i vetmi opsion që garanton për adresimin e problemeve të identifikuara në fushën</w:t>
      </w:r>
      <w:r w:rsidR="00297CA2">
        <w:rPr>
          <w:rFonts w:ascii="Times New Roman" w:eastAsia="MS Mincho" w:hAnsi="Times New Roman" w:cs="Times New Roman"/>
          <w:sz w:val="24"/>
          <w:szCs w:val="24"/>
        </w:rPr>
        <w:t xml:space="preserve"> e</w:t>
      </w:r>
      <w:r w:rsidRPr="000D3717">
        <w:rPr>
          <w:rFonts w:ascii="Times New Roman" w:eastAsia="MS Mincho" w:hAnsi="Times New Roman" w:cs="Times New Roman"/>
          <w:sz w:val="24"/>
          <w:szCs w:val="24"/>
        </w:rPr>
        <w:t xml:space="preserve"> konkurrencës është hartimi </w:t>
      </w:r>
      <w:r w:rsidR="005B099D">
        <w:rPr>
          <w:rFonts w:ascii="Times New Roman" w:eastAsia="MS Mincho" w:hAnsi="Times New Roman" w:cs="Times New Roman"/>
          <w:sz w:val="24"/>
          <w:szCs w:val="24"/>
        </w:rPr>
        <w:t>i</w:t>
      </w:r>
      <w:r w:rsidRPr="000D3717">
        <w:rPr>
          <w:rFonts w:ascii="Times New Roman" w:eastAsia="MS Mincho" w:hAnsi="Times New Roman" w:cs="Times New Roman"/>
          <w:sz w:val="24"/>
          <w:szCs w:val="24"/>
        </w:rPr>
        <w:t xml:space="preserve"> një ligji t</w:t>
      </w:r>
      <w:r w:rsidR="005054BC">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ri, </w:t>
      </w:r>
      <w:r w:rsidR="005B099D">
        <w:rPr>
          <w:rFonts w:ascii="Times New Roman" w:eastAsia="MS Mincho" w:hAnsi="Times New Roman" w:cs="Times New Roman"/>
          <w:sz w:val="24"/>
          <w:szCs w:val="24"/>
        </w:rPr>
        <w:t>duke konsideruar q</w:t>
      </w:r>
      <w:r w:rsidR="00297CA2">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shka</w:t>
      </w:r>
      <w:r w:rsidR="005B099D">
        <w:rPr>
          <w:rFonts w:ascii="Times New Roman" w:eastAsia="MS Mincho" w:hAnsi="Times New Roman" w:cs="Times New Roman"/>
          <w:sz w:val="24"/>
          <w:szCs w:val="24"/>
        </w:rPr>
        <w:t>qet</w:t>
      </w:r>
      <w:r w:rsidRPr="000D3717">
        <w:rPr>
          <w:rFonts w:ascii="Times New Roman" w:eastAsia="MS Mincho" w:hAnsi="Times New Roman" w:cs="Times New Roman"/>
          <w:sz w:val="24"/>
          <w:szCs w:val="24"/>
        </w:rPr>
        <w:t xml:space="preserve"> kryesor</w:t>
      </w:r>
      <w:r w:rsidR="00C61042">
        <w:rPr>
          <w:rFonts w:ascii="Times New Roman" w:eastAsia="MS Mincho" w:hAnsi="Times New Roman" w:cs="Times New Roman"/>
          <w:sz w:val="24"/>
          <w:szCs w:val="24"/>
        </w:rPr>
        <w:t>e</w:t>
      </w:r>
      <w:r w:rsidRPr="000D3717">
        <w:rPr>
          <w:rFonts w:ascii="Times New Roman" w:eastAsia="MS Mincho" w:hAnsi="Times New Roman" w:cs="Times New Roman"/>
          <w:sz w:val="24"/>
          <w:szCs w:val="24"/>
        </w:rPr>
        <w:t xml:space="preserve"> </w:t>
      </w:r>
      <w:r w:rsidR="005B099D">
        <w:rPr>
          <w:rFonts w:ascii="Times New Roman" w:eastAsia="MS Mincho" w:hAnsi="Times New Roman" w:cs="Times New Roman"/>
          <w:sz w:val="24"/>
          <w:szCs w:val="24"/>
        </w:rPr>
        <w:t>q</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na kan</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drejtuar n</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identifikimin e</w:t>
      </w:r>
      <w:r w:rsidRPr="000D3717">
        <w:rPr>
          <w:rFonts w:ascii="Times New Roman" w:eastAsia="MS Mincho" w:hAnsi="Times New Roman" w:cs="Times New Roman"/>
          <w:sz w:val="24"/>
          <w:szCs w:val="24"/>
        </w:rPr>
        <w:t xml:space="preserve"> problemit </w:t>
      </w:r>
      <w:r w:rsidR="005B099D">
        <w:rPr>
          <w:rFonts w:ascii="Times New Roman" w:eastAsia="MS Mincho" w:hAnsi="Times New Roman" w:cs="Times New Roman"/>
          <w:sz w:val="24"/>
          <w:szCs w:val="24"/>
        </w:rPr>
        <w:t xml:space="preserve">kryesor </w:t>
      </w:r>
      <w:r w:rsidRPr="000D3717">
        <w:rPr>
          <w:rFonts w:ascii="Times New Roman" w:eastAsia="MS Mincho" w:hAnsi="Times New Roman" w:cs="Times New Roman"/>
          <w:sz w:val="24"/>
          <w:szCs w:val="24"/>
        </w:rPr>
        <w:t>janë efekte</w:t>
      </w:r>
      <w:r w:rsidR="005B099D">
        <w:rPr>
          <w:rFonts w:ascii="Times New Roman" w:eastAsia="MS Mincho" w:hAnsi="Times New Roman" w:cs="Times New Roman"/>
          <w:sz w:val="24"/>
          <w:szCs w:val="24"/>
        </w:rPr>
        <w:t>t</w:t>
      </w:r>
      <w:r w:rsidRPr="000D3717">
        <w:rPr>
          <w:rFonts w:ascii="Times New Roman" w:eastAsia="MS Mincho" w:hAnsi="Times New Roman" w:cs="Times New Roman"/>
          <w:sz w:val="24"/>
          <w:szCs w:val="24"/>
        </w:rPr>
        <w:t xml:space="preserve"> t</w:t>
      </w:r>
      <w:r w:rsidR="005054BC">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cilat krijohen n</w:t>
      </w:r>
      <w:r w:rsidR="005B099D">
        <w:rPr>
          <w:rFonts w:ascii="Times New Roman" w:eastAsia="MS Mincho" w:hAnsi="Times New Roman" w:cs="Times New Roman"/>
          <w:sz w:val="24"/>
          <w:szCs w:val="24"/>
        </w:rPr>
        <w:t>ga</w:t>
      </w:r>
      <w:r w:rsidRPr="000D3717">
        <w:rPr>
          <w:rFonts w:ascii="Times New Roman" w:eastAsia="MS Mincho" w:hAnsi="Times New Roman" w:cs="Times New Roman"/>
          <w:sz w:val="24"/>
          <w:szCs w:val="24"/>
        </w:rPr>
        <w:t xml:space="preserve"> dispozita ligjore që </w:t>
      </w:r>
      <w:r w:rsidR="005B099D">
        <w:rPr>
          <w:rFonts w:ascii="Times New Roman" w:eastAsia="MS Mincho" w:hAnsi="Times New Roman" w:cs="Times New Roman"/>
          <w:sz w:val="24"/>
          <w:szCs w:val="24"/>
        </w:rPr>
        <w:t>m</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pas </w:t>
      </w:r>
      <w:r w:rsidRPr="000D3717">
        <w:rPr>
          <w:rFonts w:ascii="Times New Roman" w:eastAsia="MS Mincho" w:hAnsi="Times New Roman" w:cs="Times New Roman"/>
          <w:sz w:val="24"/>
          <w:szCs w:val="24"/>
        </w:rPr>
        <w:t>paraqesin vështirësi në funksionimin</w:t>
      </w:r>
      <w:r w:rsidR="005B099D">
        <w:rPr>
          <w:rFonts w:ascii="Times New Roman" w:eastAsia="MS Mincho" w:hAnsi="Times New Roman" w:cs="Times New Roman"/>
          <w:sz w:val="24"/>
          <w:szCs w:val="24"/>
        </w:rPr>
        <w:t xml:space="preserve"> </w:t>
      </w:r>
      <w:r w:rsidR="005B099D">
        <w:rPr>
          <w:rFonts w:ascii="Times New Roman" w:eastAsia="MS Mincho" w:hAnsi="Times New Roman" w:cs="Times New Roman"/>
          <w:sz w:val="24"/>
          <w:szCs w:val="24"/>
        </w:rPr>
        <w:lastRenderedPageBreak/>
        <w:t>e AKK-s</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n</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mbrojtjen e</w:t>
      </w:r>
      <w:r w:rsidRPr="000D3717">
        <w:rPr>
          <w:rFonts w:ascii="Times New Roman" w:eastAsia="MS Mincho" w:hAnsi="Times New Roman" w:cs="Times New Roman"/>
          <w:sz w:val="24"/>
          <w:szCs w:val="24"/>
        </w:rPr>
        <w:t xml:space="preserve"> </w:t>
      </w:r>
      <w:r w:rsidR="005B099D" w:rsidRPr="000D3717">
        <w:rPr>
          <w:rFonts w:ascii="Times New Roman" w:eastAsia="MS Mincho" w:hAnsi="Times New Roman" w:cs="Times New Roman"/>
          <w:sz w:val="24"/>
          <w:szCs w:val="24"/>
        </w:rPr>
        <w:t>tregut</w:t>
      </w:r>
      <w:r w:rsidR="005B099D">
        <w:rPr>
          <w:rFonts w:ascii="Times New Roman" w:eastAsia="MS Mincho" w:hAnsi="Times New Roman" w:cs="Times New Roman"/>
          <w:sz w:val="24"/>
          <w:szCs w:val="24"/>
        </w:rPr>
        <w:t xml:space="preserve"> </w:t>
      </w:r>
      <w:r w:rsidR="005B099D" w:rsidRPr="000D3717">
        <w:rPr>
          <w:rFonts w:ascii="Times New Roman" w:eastAsia="MS Mincho" w:hAnsi="Times New Roman" w:cs="Times New Roman"/>
          <w:sz w:val="24"/>
          <w:szCs w:val="24"/>
        </w:rPr>
        <w:t xml:space="preserve">të lirë </w:t>
      </w:r>
      <w:r w:rsidRPr="000D3717">
        <w:rPr>
          <w:rFonts w:ascii="Times New Roman" w:eastAsia="MS Mincho" w:hAnsi="Times New Roman" w:cs="Times New Roman"/>
          <w:sz w:val="24"/>
          <w:szCs w:val="24"/>
        </w:rPr>
        <w:t xml:space="preserve">dhe konkurrencës. </w:t>
      </w:r>
      <w:r w:rsidR="005B099D">
        <w:rPr>
          <w:rFonts w:ascii="Times New Roman" w:eastAsia="MS Mincho" w:hAnsi="Times New Roman" w:cs="Times New Roman"/>
          <w:sz w:val="24"/>
          <w:szCs w:val="24"/>
        </w:rPr>
        <w:t>Opsioni i dyt</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i cili është edhe opsioni i rekomanduar, bazuar n</w:t>
      </w:r>
      <w:r w:rsidR="00297CA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analizat e grupit punues</w:t>
      </w:r>
      <w:r w:rsidR="008753CB">
        <w:rPr>
          <w:rFonts w:ascii="Times New Roman" w:eastAsia="MS Mincho" w:hAnsi="Times New Roman" w:cs="Times New Roman"/>
          <w:sz w:val="24"/>
          <w:szCs w:val="24"/>
        </w:rPr>
        <w:t xml:space="preserve"> të </w:t>
      </w:r>
      <w:r w:rsidR="005B099D">
        <w:rPr>
          <w:rFonts w:ascii="Times New Roman" w:eastAsia="MS Mincho" w:hAnsi="Times New Roman" w:cs="Times New Roman"/>
          <w:sz w:val="24"/>
          <w:szCs w:val="24"/>
        </w:rPr>
        <w:t>këtij Koncept Dokumenti nuk paraqet vështirësi financiare për tu adresuar. Ndërsa, Opsioni i 3</w:t>
      </w:r>
      <w:r w:rsidR="00C61042">
        <w:rPr>
          <w:rFonts w:ascii="Times New Roman" w:eastAsia="MS Mincho" w:hAnsi="Times New Roman" w:cs="Times New Roman"/>
          <w:sz w:val="24"/>
          <w:szCs w:val="24"/>
        </w:rPr>
        <w:t>-të</w:t>
      </w:r>
      <w:r w:rsidR="005B099D">
        <w:rPr>
          <w:rFonts w:ascii="Times New Roman" w:eastAsia="MS Mincho" w:hAnsi="Times New Roman" w:cs="Times New Roman"/>
          <w:sz w:val="24"/>
          <w:szCs w:val="24"/>
        </w:rPr>
        <w:t xml:space="preserve"> edhe pse ka një kosto m</w:t>
      </w:r>
      <w:r w:rsidR="00C61042">
        <w:rPr>
          <w:rFonts w:ascii="Times New Roman" w:eastAsia="MS Mincho" w:hAnsi="Times New Roman" w:cs="Times New Roman"/>
          <w:sz w:val="24"/>
          <w:szCs w:val="24"/>
        </w:rPr>
        <w:t>ë</w:t>
      </w:r>
      <w:r w:rsidR="008753CB">
        <w:rPr>
          <w:rFonts w:ascii="Times New Roman" w:eastAsia="MS Mincho" w:hAnsi="Times New Roman" w:cs="Times New Roman"/>
          <w:sz w:val="24"/>
          <w:szCs w:val="24"/>
        </w:rPr>
        <w:t xml:space="preserve"> të </w:t>
      </w:r>
      <w:r w:rsidR="005B099D">
        <w:rPr>
          <w:rFonts w:ascii="Times New Roman" w:eastAsia="MS Mincho" w:hAnsi="Times New Roman" w:cs="Times New Roman"/>
          <w:sz w:val="24"/>
          <w:szCs w:val="24"/>
        </w:rPr>
        <w:t>ulet, grupi punues ka vlerësuar se nuk do</w:t>
      </w:r>
      <w:r w:rsidR="008753CB">
        <w:rPr>
          <w:rFonts w:ascii="Times New Roman" w:eastAsia="MS Mincho" w:hAnsi="Times New Roman" w:cs="Times New Roman"/>
          <w:sz w:val="24"/>
          <w:szCs w:val="24"/>
        </w:rPr>
        <w:t xml:space="preserve"> të </w:t>
      </w:r>
      <w:r w:rsidR="005B099D">
        <w:rPr>
          <w:rFonts w:ascii="Times New Roman" w:eastAsia="MS Mincho" w:hAnsi="Times New Roman" w:cs="Times New Roman"/>
          <w:sz w:val="24"/>
          <w:szCs w:val="24"/>
        </w:rPr>
        <w:t>mund</w:t>
      </w:r>
      <w:r w:rsidR="008753CB">
        <w:rPr>
          <w:rFonts w:ascii="Times New Roman" w:eastAsia="MS Mincho" w:hAnsi="Times New Roman" w:cs="Times New Roman"/>
          <w:sz w:val="24"/>
          <w:szCs w:val="24"/>
        </w:rPr>
        <w:t xml:space="preserve"> të </w:t>
      </w:r>
      <w:r w:rsidR="005B099D">
        <w:rPr>
          <w:rFonts w:ascii="Times New Roman" w:eastAsia="MS Mincho" w:hAnsi="Times New Roman" w:cs="Times New Roman"/>
          <w:sz w:val="24"/>
          <w:szCs w:val="24"/>
        </w:rPr>
        <w:t>adresonte plotësisht efektet dhe shkaqet me natyrë legjislative</w:t>
      </w:r>
      <w:r w:rsidR="008753CB">
        <w:rPr>
          <w:rFonts w:ascii="Times New Roman" w:eastAsia="MS Mincho" w:hAnsi="Times New Roman" w:cs="Times New Roman"/>
          <w:sz w:val="24"/>
          <w:szCs w:val="24"/>
        </w:rPr>
        <w:t xml:space="preserve"> të </w:t>
      </w:r>
      <w:r w:rsidR="005B099D">
        <w:rPr>
          <w:rFonts w:ascii="Times New Roman" w:eastAsia="MS Mincho" w:hAnsi="Times New Roman" w:cs="Times New Roman"/>
          <w:sz w:val="24"/>
          <w:szCs w:val="24"/>
        </w:rPr>
        <w:t>cilat kan</w:t>
      </w:r>
      <w:r w:rsidR="00C61042">
        <w:rPr>
          <w:rFonts w:ascii="Times New Roman" w:eastAsia="MS Mincho" w:hAnsi="Times New Roman" w:cs="Times New Roman"/>
          <w:sz w:val="24"/>
          <w:szCs w:val="24"/>
        </w:rPr>
        <w:t>ë</w:t>
      </w:r>
      <w:r w:rsidR="005B099D">
        <w:rPr>
          <w:rFonts w:ascii="Times New Roman" w:eastAsia="MS Mincho" w:hAnsi="Times New Roman" w:cs="Times New Roman"/>
          <w:sz w:val="24"/>
          <w:szCs w:val="24"/>
        </w:rPr>
        <w:t xml:space="preserve"> </w:t>
      </w:r>
      <w:r w:rsidR="000C6DC1">
        <w:rPr>
          <w:rFonts w:ascii="Times New Roman" w:eastAsia="MS Mincho" w:hAnsi="Times New Roman" w:cs="Times New Roman"/>
          <w:sz w:val="24"/>
          <w:szCs w:val="24"/>
        </w:rPr>
        <w:t xml:space="preserve">sjellë </w:t>
      </w:r>
      <w:r w:rsidR="005B099D">
        <w:rPr>
          <w:rFonts w:ascii="Times New Roman" w:eastAsia="MS Mincho" w:hAnsi="Times New Roman" w:cs="Times New Roman"/>
          <w:sz w:val="24"/>
          <w:szCs w:val="24"/>
        </w:rPr>
        <w:t>problemin kryeso</w:t>
      </w:r>
      <w:r w:rsidR="000C6DC1">
        <w:rPr>
          <w:rFonts w:ascii="Times New Roman" w:eastAsia="MS Mincho" w:hAnsi="Times New Roman" w:cs="Times New Roman"/>
          <w:sz w:val="24"/>
          <w:szCs w:val="24"/>
        </w:rPr>
        <w:t>r. Gjithashtu Opsioni i 3, pavarësisht kostos m</w:t>
      </w:r>
      <w:r w:rsidR="00C61042">
        <w:rPr>
          <w:rFonts w:ascii="Times New Roman" w:eastAsia="MS Mincho" w:hAnsi="Times New Roman" w:cs="Times New Roman"/>
          <w:sz w:val="24"/>
          <w:szCs w:val="24"/>
        </w:rPr>
        <w:t>ë</w:t>
      </w:r>
      <w:r w:rsidR="008753CB">
        <w:rPr>
          <w:rFonts w:ascii="Times New Roman" w:eastAsia="MS Mincho" w:hAnsi="Times New Roman" w:cs="Times New Roman"/>
          <w:sz w:val="24"/>
          <w:szCs w:val="24"/>
        </w:rPr>
        <w:t xml:space="preserve"> të </w:t>
      </w:r>
      <w:r w:rsidR="000C6DC1">
        <w:rPr>
          <w:rFonts w:ascii="Times New Roman" w:eastAsia="MS Mincho" w:hAnsi="Times New Roman" w:cs="Times New Roman"/>
          <w:sz w:val="24"/>
          <w:szCs w:val="24"/>
        </w:rPr>
        <w:t xml:space="preserve">ulet, nuk </w:t>
      </w:r>
      <w:r w:rsidR="00E32856">
        <w:rPr>
          <w:rFonts w:ascii="Times New Roman" w:eastAsia="MS Mincho" w:hAnsi="Times New Roman" w:cs="Times New Roman"/>
          <w:sz w:val="24"/>
          <w:szCs w:val="24"/>
        </w:rPr>
        <w:t xml:space="preserve">i përmbush të gjitha </w:t>
      </w:r>
      <w:r w:rsidR="000C6DC1">
        <w:rPr>
          <w:rFonts w:ascii="Times New Roman" w:eastAsia="MS Mincho" w:hAnsi="Times New Roman" w:cs="Times New Roman"/>
          <w:sz w:val="24"/>
          <w:szCs w:val="24"/>
        </w:rPr>
        <w:t xml:space="preserve">kërkesat </w:t>
      </w:r>
      <w:r w:rsidR="00E32856">
        <w:rPr>
          <w:rFonts w:ascii="Times New Roman" w:eastAsia="MS Mincho" w:hAnsi="Times New Roman" w:cs="Times New Roman"/>
          <w:sz w:val="24"/>
          <w:szCs w:val="24"/>
        </w:rPr>
        <w:t>që vine në kuadër të</w:t>
      </w:r>
      <w:r w:rsidR="000C6DC1">
        <w:rPr>
          <w:rFonts w:ascii="Times New Roman" w:eastAsia="MS Mincho" w:hAnsi="Times New Roman" w:cs="Times New Roman"/>
          <w:sz w:val="24"/>
          <w:szCs w:val="24"/>
        </w:rPr>
        <w:t xml:space="preserve"> MSA</w:t>
      </w:r>
      <w:r w:rsidR="00E32856">
        <w:rPr>
          <w:rFonts w:ascii="Times New Roman" w:eastAsia="MS Mincho" w:hAnsi="Times New Roman" w:cs="Times New Roman"/>
          <w:sz w:val="24"/>
          <w:szCs w:val="24"/>
        </w:rPr>
        <w:t>-së dhe detyrimeve  të tjera që</w:t>
      </w:r>
      <w:r w:rsidR="000C6DC1">
        <w:rPr>
          <w:rFonts w:ascii="Times New Roman" w:eastAsia="MS Mincho" w:hAnsi="Times New Roman" w:cs="Times New Roman"/>
          <w:sz w:val="24"/>
          <w:szCs w:val="24"/>
        </w:rPr>
        <w:t xml:space="preserve"> ka Kosova</w:t>
      </w:r>
      <w:r w:rsidR="008753CB">
        <w:rPr>
          <w:rFonts w:ascii="Times New Roman" w:eastAsia="MS Mincho" w:hAnsi="Times New Roman" w:cs="Times New Roman"/>
          <w:sz w:val="24"/>
          <w:szCs w:val="24"/>
        </w:rPr>
        <w:t xml:space="preserve"> </w:t>
      </w:r>
      <w:r w:rsidR="00E32856">
        <w:rPr>
          <w:rFonts w:ascii="Times New Roman" w:eastAsia="MS Mincho" w:hAnsi="Times New Roman" w:cs="Times New Roman"/>
          <w:sz w:val="24"/>
          <w:szCs w:val="24"/>
        </w:rPr>
        <w:t xml:space="preserve">sa i përket agjendës Evropiane në fushën e Konkurrencës. </w:t>
      </w:r>
    </w:p>
    <w:p w14:paraId="0CC1BC8C" w14:textId="77777777" w:rsidR="005B099D" w:rsidRDefault="005B099D" w:rsidP="00E43229">
      <w:pPr>
        <w:rPr>
          <w:rFonts w:ascii="Times New Roman" w:eastAsia="MS Mincho" w:hAnsi="Times New Roman" w:cs="Times New Roman"/>
          <w:sz w:val="24"/>
          <w:szCs w:val="24"/>
        </w:rPr>
      </w:pPr>
    </w:p>
    <w:p w14:paraId="231DBBCD" w14:textId="77777777" w:rsidR="00051DC1" w:rsidRPr="000D3717" w:rsidRDefault="00E43229" w:rsidP="00E43229">
      <w:pPr>
        <w:rPr>
          <w:rFonts w:ascii="Times New Roman" w:eastAsia="MS Mincho" w:hAnsi="Times New Roman" w:cs="Times New Roman"/>
          <w:sz w:val="24"/>
          <w:szCs w:val="24"/>
        </w:rPr>
      </w:pPr>
      <w:r w:rsidRPr="000D3717">
        <w:rPr>
          <w:rFonts w:ascii="Times New Roman" w:eastAsia="MS Mincho" w:hAnsi="Times New Roman" w:cs="Times New Roman"/>
          <w:sz w:val="24"/>
          <w:szCs w:val="24"/>
        </w:rPr>
        <w:t>Plani për zbatimin e këtij Koncept Dokumenti, me kusht që të aprovohet me opsionin e rekomanduar, është si në vijim:</w:t>
      </w:r>
    </w:p>
    <w:p w14:paraId="46BA6CEE" w14:textId="77777777" w:rsidR="00051DC1" w:rsidRPr="000D3717" w:rsidRDefault="00051DC1" w:rsidP="00051DC1">
      <w:pPr>
        <w:pStyle w:val="Caption"/>
        <w:rPr>
          <w:rFonts w:ascii="Times New Roman" w:hAnsi="Times New Roman" w:cs="Times New Roman"/>
          <w:sz w:val="24"/>
          <w:szCs w:val="24"/>
        </w:rPr>
      </w:pPr>
      <w:r w:rsidRPr="000D3717">
        <w:rPr>
          <w:rFonts w:ascii="Times New Roman" w:hAnsi="Times New Roman" w:cs="Times New Roman"/>
          <w:sz w:val="24"/>
          <w:szCs w:val="24"/>
        </w:rPr>
        <w:t>Figur</w:t>
      </w:r>
      <w:r w:rsidR="0064622A" w:rsidRPr="000D3717">
        <w:rPr>
          <w:rFonts w:ascii="Times New Roman" w:hAnsi="Times New Roman" w:cs="Times New Roman"/>
          <w:sz w:val="24"/>
          <w:szCs w:val="24"/>
        </w:rPr>
        <w:t>a</w:t>
      </w:r>
      <w:r w:rsidRPr="000D3717">
        <w:rPr>
          <w:rFonts w:ascii="Times New Roman" w:hAnsi="Times New Roman" w:cs="Times New Roman"/>
          <w:sz w:val="24"/>
          <w:szCs w:val="24"/>
        </w:rPr>
        <w:t xml:space="preserve"> </w:t>
      </w:r>
      <w:r w:rsidR="0064305F" w:rsidRPr="000D3717">
        <w:rPr>
          <w:rFonts w:ascii="Times New Roman" w:hAnsi="Times New Roman" w:cs="Times New Roman"/>
          <w:sz w:val="24"/>
          <w:szCs w:val="24"/>
        </w:rPr>
        <w:fldChar w:fldCharType="begin"/>
      </w:r>
      <w:r w:rsidR="00180BB0" w:rsidRPr="000D3717">
        <w:rPr>
          <w:rFonts w:ascii="Times New Roman" w:hAnsi="Times New Roman" w:cs="Times New Roman"/>
          <w:sz w:val="24"/>
          <w:szCs w:val="24"/>
        </w:rPr>
        <w:instrText xml:space="preserve"> SEQ Figure \* ARABIC </w:instrText>
      </w:r>
      <w:r w:rsidR="0064305F" w:rsidRPr="000D3717">
        <w:rPr>
          <w:rFonts w:ascii="Times New Roman" w:hAnsi="Times New Roman" w:cs="Times New Roman"/>
          <w:sz w:val="24"/>
          <w:szCs w:val="24"/>
        </w:rPr>
        <w:fldChar w:fldCharType="separate"/>
      </w:r>
      <w:r w:rsidR="0095778A">
        <w:rPr>
          <w:rFonts w:ascii="Times New Roman" w:hAnsi="Times New Roman" w:cs="Times New Roman"/>
          <w:noProof/>
          <w:sz w:val="24"/>
          <w:szCs w:val="24"/>
        </w:rPr>
        <w:t>7</w:t>
      </w:r>
      <w:r w:rsidR="0064305F" w:rsidRPr="000D3717">
        <w:rPr>
          <w:rFonts w:ascii="Times New Roman" w:hAnsi="Times New Roman" w:cs="Times New Roman"/>
          <w:sz w:val="24"/>
          <w:szCs w:val="24"/>
        </w:rPr>
        <w:fldChar w:fldCharType="end"/>
      </w:r>
      <w:r w:rsidRPr="000D3717">
        <w:rPr>
          <w:rFonts w:ascii="Times New Roman" w:hAnsi="Times New Roman" w:cs="Times New Roman"/>
          <w:sz w:val="24"/>
          <w:szCs w:val="24"/>
        </w:rPr>
        <w:t xml:space="preserve">: </w:t>
      </w:r>
      <w:r w:rsidR="0064622A" w:rsidRPr="000D3717">
        <w:rPr>
          <w:rFonts w:ascii="Times New Roman" w:hAnsi="Times New Roman" w:cs="Times New Roman"/>
          <w:sz w:val="24"/>
          <w:szCs w:val="24"/>
        </w:rPr>
        <w:t>Plani i zbatimit të opsionit të preferuar</w:t>
      </w:r>
    </w:p>
    <w:tbl>
      <w:tblPr>
        <w:tblStyle w:val="TableGrid2"/>
        <w:tblW w:w="0" w:type="auto"/>
        <w:tblLook w:val="04A0" w:firstRow="1" w:lastRow="0" w:firstColumn="1" w:lastColumn="0" w:noHBand="0" w:noVBand="1"/>
      </w:tblPr>
      <w:tblGrid>
        <w:gridCol w:w="7128"/>
        <w:gridCol w:w="2448"/>
      </w:tblGrid>
      <w:tr w:rsidR="00E43229" w:rsidRPr="000D3717" w14:paraId="40B30B16" w14:textId="77777777" w:rsidTr="001C7171">
        <w:tc>
          <w:tcPr>
            <w:tcW w:w="7128" w:type="dxa"/>
          </w:tcPr>
          <w:p w14:paraId="78F1CEE8" w14:textId="77777777" w:rsidR="00E43229" w:rsidRPr="000D3717" w:rsidRDefault="00E43229" w:rsidP="001C7171">
            <w:pPr>
              <w:jc w:val="center"/>
              <w:rPr>
                <w:rFonts w:ascii="Times New Roman" w:hAnsi="Times New Roman" w:cs="Times New Roman"/>
                <w:b/>
                <w:sz w:val="24"/>
                <w:szCs w:val="24"/>
              </w:rPr>
            </w:pPr>
            <w:r w:rsidRPr="000D3717">
              <w:rPr>
                <w:rFonts w:ascii="Times New Roman" w:hAnsi="Times New Roman" w:cs="Times New Roman"/>
                <w:b/>
                <w:sz w:val="24"/>
                <w:szCs w:val="24"/>
              </w:rPr>
              <w:t>Veprimi</w:t>
            </w:r>
          </w:p>
        </w:tc>
        <w:tc>
          <w:tcPr>
            <w:tcW w:w="2448" w:type="dxa"/>
          </w:tcPr>
          <w:p w14:paraId="6F9BA26C" w14:textId="77777777" w:rsidR="00E43229" w:rsidRPr="000D3717" w:rsidRDefault="00E43229" w:rsidP="001C7171">
            <w:pPr>
              <w:jc w:val="center"/>
              <w:rPr>
                <w:rFonts w:ascii="Times New Roman" w:hAnsi="Times New Roman" w:cs="Times New Roman"/>
                <w:b/>
                <w:sz w:val="24"/>
                <w:szCs w:val="24"/>
              </w:rPr>
            </w:pPr>
            <w:r w:rsidRPr="000D3717">
              <w:rPr>
                <w:rFonts w:ascii="Times New Roman" w:hAnsi="Times New Roman" w:cs="Times New Roman"/>
                <w:b/>
                <w:sz w:val="24"/>
                <w:szCs w:val="24"/>
              </w:rPr>
              <w:t>Afati kohor</w:t>
            </w:r>
          </w:p>
        </w:tc>
      </w:tr>
      <w:tr w:rsidR="00E43229" w:rsidRPr="000D3717" w14:paraId="37313924" w14:textId="77777777" w:rsidTr="001C7171">
        <w:tc>
          <w:tcPr>
            <w:tcW w:w="7128" w:type="dxa"/>
          </w:tcPr>
          <w:p w14:paraId="2FBD1C97" w14:textId="77777777" w:rsidR="00E43229" w:rsidRPr="000D3717" w:rsidRDefault="00E43229" w:rsidP="001C7171">
            <w:pPr>
              <w:jc w:val="both"/>
              <w:rPr>
                <w:rFonts w:ascii="Times New Roman" w:hAnsi="Times New Roman" w:cs="Times New Roman"/>
                <w:sz w:val="24"/>
                <w:szCs w:val="24"/>
              </w:rPr>
            </w:pPr>
            <w:r w:rsidRPr="000D3717">
              <w:rPr>
                <w:rFonts w:ascii="Times New Roman" w:hAnsi="Times New Roman" w:cs="Times New Roman"/>
                <w:sz w:val="24"/>
                <w:szCs w:val="24"/>
              </w:rPr>
              <w:t>1. Miratimi i Koncept Dokumentit  p</w:t>
            </w:r>
            <w:r w:rsidR="00384463">
              <w:rPr>
                <w:rFonts w:ascii="Times New Roman" w:hAnsi="Times New Roman" w:cs="Times New Roman"/>
                <w:sz w:val="24"/>
                <w:szCs w:val="24"/>
              </w:rPr>
              <w:t>ë</w:t>
            </w:r>
            <w:r w:rsidRPr="000D3717">
              <w:rPr>
                <w:rFonts w:ascii="Times New Roman" w:hAnsi="Times New Roman" w:cs="Times New Roman"/>
                <w:sz w:val="24"/>
                <w:szCs w:val="24"/>
              </w:rPr>
              <w:t xml:space="preserve">r  fushën e konkurrencës </w:t>
            </w:r>
          </w:p>
        </w:tc>
        <w:tc>
          <w:tcPr>
            <w:tcW w:w="2448" w:type="dxa"/>
          </w:tcPr>
          <w:p w14:paraId="04FE9F48"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K4 2018</w:t>
            </w:r>
          </w:p>
        </w:tc>
      </w:tr>
      <w:tr w:rsidR="00E43229" w:rsidRPr="000D3717" w14:paraId="7858BA8F" w14:textId="77777777" w:rsidTr="001C7171">
        <w:tc>
          <w:tcPr>
            <w:tcW w:w="7128" w:type="dxa"/>
          </w:tcPr>
          <w:p w14:paraId="7669E574" w14:textId="2C2E5DCF" w:rsidR="00E43229" w:rsidRPr="000D3717" w:rsidRDefault="00E43229" w:rsidP="001C7171">
            <w:pPr>
              <w:rPr>
                <w:rFonts w:ascii="Times New Roman" w:hAnsi="Times New Roman" w:cs="Times New Roman"/>
                <w:sz w:val="24"/>
                <w:szCs w:val="24"/>
              </w:rPr>
            </w:pPr>
            <w:r w:rsidRPr="000D3717">
              <w:rPr>
                <w:rFonts w:ascii="Times New Roman" w:hAnsi="Times New Roman" w:cs="Times New Roman"/>
                <w:sz w:val="24"/>
                <w:szCs w:val="24"/>
              </w:rPr>
              <w:t>2. Hartimi i Projektligjit për</w:t>
            </w:r>
            <w:r w:rsidR="00C17F8E">
              <w:rPr>
                <w:rFonts w:ascii="Times New Roman" w:hAnsi="Times New Roman" w:cs="Times New Roman"/>
                <w:sz w:val="24"/>
                <w:szCs w:val="24"/>
              </w:rPr>
              <w:t xml:space="preserve"> </w:t>
            </w:r>
            <w:proofErr w:type="spellStart"/>
            <w:r w:rsidR="00C17F8E">
              <w:rPr>
                <w:rFonts w:ascii="Times New Roman" w:hAnsi="Times New Roman" w:cs="Times New Roman"/>
                <w:sz w:val="24"/>
                <w:szCs w:val="24"/>
              </w:rPr>
              <w:t>për</w:t>
            </w:r>
            <w:proofErr w:type="spellEnd"/>
            <w:r w:rsidR="00C17F8E">
              <w:rPr>
                <w:rFonts w:ascii="Times New Roman" w:hAnsi="Times New Roman" w:cs="Times New Roman"/>
                <w:sz w:val="24"/>
                <w:szCs w:val="24"/>
              </w:rPr>
              <w:t xml:space="preserve"> </w:t>
            </w:r>
            <w:r w:rsidRPr="000D3717">
              <w:rPr>
                <w:rFonts w:ascii="Times New Roman" w:hAnsi="Times New Roman" w:cs="Times New Roman"/>
                <w:sz w:val="24"/>
                <w:szCs w:val="24"/>
              </w:rPr>
              <w:t xml:space="preserve">mbrojtjen e konkurrencës </w:t>
            </w:r>
          </w:p>
        </w:tc>
        <w:tc>
          <w:tcPr>
            <w:tcW w:w="2448" w:type="dxa"/>
          </w:tcPr>
          <w:p w14:paraId="57948900"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K2 2019</w:t>
            </w:r>
          </w:p>
        </w:tc>
      </w:tr>
      <w:tr w:rsidR="00E43229" w:rsidRPr="000D3717" w14:paraId="2F8138E6" w14:textId="77777777" w:rsidTr="001C7171">
        <w:tc>
          <w:tcPr>
            <w:tcW w:w="7128" w:type="dxa"/>
          </w:tcPr>
          <w:p w14:paraId="7EF9FFEC" w14:textId="77777777" w:rsidR="00E43229" w:rsidRPr="000D3717" w:rsidRDefault="00E43229" w:rsidP="00384463">
            <w:pPr>
              <w:jc w:val="both"/>
              <w:rPr>
                <w:rFonts w:ascii="Times New Roman" w:hAnsi="Times New Roman" w:cs="Times New Roman"/>
                <w:sz w:val="24"/>
                <w:szCs w:val="24"/>
              </w:rPr>
            </w:pPr>
            <w:r w:rsidRPr="000D3717">
              <w:rPr>
                <w:rFonts w:ascii="Times New Roman" w:hAnsi="Times New Roman" w:cs="Times New Roman"/>
                <w:sz w:val="24"/>
                <w:szCs w:val="24"/>
              </w:rPr>
              <w:t>3. Aprovimi Projektligjit për mbrojtjen e konkurrencës në Qeverinë e Republikës së Kosovës</w:t>
            </w:r>
          </w:p>
        </w:tc>
        <w:tc>
          <w:tcPr>
            <w:tcW w:w="2448" w:type="dxa"/>
          </w:tcPr>
          <w:p w14:paraId="57DC0A3A"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K2 2019</w:t>
            </w:r>
          </w:p>
        </w:tc>
      </w:tr>
      <w:tr w:rsidR="00E43229" w:rsidRPr="000D3717" w14:paraId="2E864498" w14:textId="77777777" w:rsidTr="001C7171">
        <w:tc>
          <w:tcPr>
            <w:tcW w:w="7128" w:type="dxa"/>
          </w:tcPr>
          <w:p w14:paraId="0B70A3A1" w14:textId="77777777" w:rsidR="00E43229" w:rsidRPr="000D3717" w:rsidRDefault="00E43229" w:rsidP="00384463">
            <w:pPr>
              <w:jc w:val="both"/>
              <w:rPr>
                <w:rFonts w:ascii="Times New Roman" w:hAnsi="Times New Roman" w:cs="Times New Roman"/>
                <w:sz w:val="24"/>
                <w:szCs w:val="24"/>
              </w:rPr>
            </w:pPr>
            <w:r w:rsidRPr="000D3717">
              <w:rPr>
                <w:rFonts w:ascii="Times New Roman" w:hAnsi="Times New Roman" w:cs="Times New Roman"/>
                <w:sz w:val="24"/>
                <w:szCs w:val="24"/>
              </w:rPr>
              <w:t>4. Aprovimi Projektligjit për mbrojtjen e konkurrencës në Kuvendin e Republikës së Kosovës</w:t>
            </w:r>
          </w:p>
        </w:tc>
        <w:tc>
          <w:tcPr>
            <w:tcW w:w="2448" w:type="dxa"/>
          </w:tcPr>
          <w:p w14:paraId="7B420351"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K3 2019</w:t>
            </w:r>
          </w:p>
        </w:tc>
      </w:tr>
      <w:tr w:rsidR="00E43229" w:rsidRPr="000D3717" w14:paraId="31F2D3DD" w14:textId="77777777" w:rsidTr="001C7171">
        <w:tc>
          <w:tcPr>
            <w:tcW w:w="7128" w:type="dxa"/>
          </w:tcPr>
          <w:p w14:paraId="700252F5" w14:textId="77777777" w:rsidR="00E43229" w:rsidRPr="000D3717" w:rsidRDefault="00E43229" w:rsidP="00384463">
            <w:pPr>
              <w:jc w:val="both"/>
              <w:rPr>
                <w:rFonts w:ascii="Times New Roman" w:hAnsi="Times New Roman" w:cs="Times New Roman"/>
                <w:sz w:val="24"/>
                <w:szCs w:val="24"/>
              </w:rPr>
            </w:pPr>
            <w:r w:rsidRPr="000D3717">
              <w:rPr>
                <w:rFonts w:ascii="Times New Roman" w:hAnsi="Times New Roman" w:cs="Times New Roman"/>
                <w:sz w:val="24"/>
                <w:szCs w:val="24"/>
              </w:rPr>
              <w:t>5. Hyrja në fuqi e Projektligjit për mbrojtjen e konkurrencës</w:t>
            </w:r>
          </w:p>
        </w:tc>
        <w:tc>
          <w:tcPr>
            <w:tcW w:w="2448" w:type="dxa"/>
          </w:tcPr>
          <w:p w14:paraId="243575BF"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1 janar 2020</w:t>
            </w:r>
          </w:p>
        </w:tc>
      </w:tr>
      <w:tr w:rsidR="00E43229" w:rsidRPr="000D3717" w14:paraId="009706EC" w14:textId="77777777" w:rsidTr="001C7171">
        <w:tc>
          <w:tcPr>
            <w:tcW w:w="7128" w:type="dxa"/>
          </w:tcPr>
          <w:p w14:paraId="4BB696F5" w14:textId="77777777" w:rsidR="00E43229" w:rsidRPr="000D3717" w:rsidRDefault="00E43229" w:rsidP="00384463">
            <w:pPr>
              <w:jc w:val="both"/>
              <w:rPr>
                <w:rFonts w:ascii="Times New Roman" w:hAnsi="Times New Roman" w:cs="Times New Roman"/>
                <w:sz w:val="24"/>
                <w:szCs w:val="24"/>
              </w:rPr>
            </w:pPr>
            <w:r w:rsidRPr="000D3717">
              <w:rPr>
                <w:rFonts w:ascii="Times New Roman" w:hAnsi="Times New Roman" w:cs="Times New Roman"/>
                <w:sz w:val="24"/>
                <w:szCs w:val="24"/>
              </w:rPr>
              <w:t>6. Zbatimi i Ligjit për mbrojtjen e konkurrencës</w:t>
            </w:r>
          </w:p>
        </w:tc>
        <w:tc>
          <w:tcPr>
            <w:tcW w:w="2448" w:type="dxa"/>
          </w:tcPr>
          <w:p w14:paraId="36CA0E65" w14:textId="77777777" w:rsidR="00E43229" w:rsidRPr="000D3717" w:rsidRDefault="00E43229" w:rsidP="001C7171">
            <w:pPr>
              <w:jc w:val="center"/>
              <w:rPr>
                <w:rFonts w:ascii="Times New Roman" w:hAnsi="Times New Roman" w:cs="Times New Roman"/>
                <w:sz w:val="24"/>
                <w:szCs w:val="24"/>
              </w:rPr>
            </w:pPr>
            <w:r w:rsidRPr="000D3717">
              <w:rPr>
                <w:rFonts w:ascii="Times New Roman" w:hAnsi="Times New Roman" w:cs="Times New Roman"/>
                <w:sz w:val="24"/>
                <w:szCs w:val="24"/>
              </w:rPr>
              <w:t xml:space="preserve">1 janar 2020 </w:t>
            </w:r>
          </w:p>
        </w:tc>
      </w:tr>
    </w:tbl>
    <w:p w14:paraId="3CF13120" w14:textId="77777777" w:rsidR="00051DC1" w:rsidRPr="000D3717" w:rsidRDefault="00051DC1" w:rsidP="0075339D">
      <w:pPr>
        <w:rPr>
          <w:rFonts w:ascii="Times New Roman" w:hAnsi="Times New Roman" w:cs="Times New Roman"/>
          <w:sz w:val="24"/>
          <w:szCs w:val="24"/>
        </w:rPr>
      </w:pPr>
    </w:p>
    <w:p w14:paraId="0BF6649B" w14:textId="77777777" w:rsidR="00051DC1" w:rsidRPr="000D3717" w:rsidRDefault="00623843" w:rsidP="00051DC1">
      <w:pPr>
        <w:pStyle w:val="Heading2"/>
        <w:rPr>
          <w:rFonts w:ascii="Times New Roman" w:hAnsi="Times New Roman" w:cs="Times New Roman"/>
          <w:sz w:val="24"/>
          <w:szCs w:val="24"/>
        </w:rPr>
      </w:pPr>
      <w:bookmarkStart w:id="21" w:name="_Toc532388166"/>
      <w:r w:rsidRPr="000D3717">
        <w:rPr>
          <w:rFonts w:ascii="Times New Roman" w:hAnsi="Times New Roman" w:cs="Times New Roman"/>
          <w:sz w:val="24"/>
          <w:szCs w:val="24"/>
        </w:rPr>
        <w:t>K</w:t>
      </w:r>
      <w:r w:rsidR="00AC094B" w:rsidRPr="000D3717">
        <w:rPr>
          <w:rFonts w:ascii="Times New Roman" w:hAnsi="Times New Roman" w:cs="Times New Roman"/>
          <w:sz w:val="24"/>
          <w:szCs w:val="24"/>
        </w:rPr>
        <w:t>ap</w:t>
      </w:r>
      <w:r w:rsidRPr="000D3717">
        <w:rPr>
          <w:rFonts w:ascii="Times New Roman" w:hAnsi="Times New Roman" w:cs="Times New Roman"/>
          <w:sz w:val="24"/>
          <w:szCs w:val="24"/>
        </w:rPr>
        <w:t>i</w:t>
      </w:r>
      <w:r w:rsidR="00AC094B" w:rsidRPr="000D3717">
        <w:rPr>
          <w:rFonts w:ascii="Times New Roman" w:hAnsi="Times New Roman" w:cs="Times New Roman"/>
          <w:sz w:val="24"/>
          <w:szCs w:val="24"/>
        </w:rPr>
        <w:t>t</w:t>
      </w:r>
      <w:r w:rsidRPr="000D3717">
        <w:rPr>
          <w:rFonts w:ascii="Times New Roman" w:hAnsi="Times New Roman" w:cs="Times New Roman"/>
          <w:sz w:val="24"/>
          <w:szCs w:val="24"/>
        </w:rPr>
        <w:t>ulli</w:t>
      </w:r>
      <w:r w:rsidR="00AC094B" w:rsidRPr="000D3717">
        <w:rPr>
          <w:rFonts w:ascii="Times New Roman" w:hAnsi="Times New Roman" w:cs="Times New Roman"/>
          <w:sz w:val="24"/>
          <w:szCs w:val="24"/>
        </w:rPr>
        <w:t xml:space="preserve"> 7.1: </w:t>
      </w:r>
      <w:r w:rsidRPr="000D3717">
        <w:rPr>
          <w:rFonts w:ascii="Times New Roman" w:hAnsi="Times New Roman" w:cs="Times New Roman"/>
          <w:sz w:val="24"/>
          <w:szCs w:val="24"/>
        </w:rPr>
        <w:t>Dispozitat për monitorimin dhe vlerësimin</w:t>
      </w:r>
      <w:bookmarkEnd w:id="21"/>
    </w:p>
    <w:p w14:paraId="067E544C" w14:textId="77777777" w:rsidR="00AE6725" w:rsidRPr="000D3717" w:rsidRDefault="00AE6725" w:rsidP="00E43229">
      <w:pPr>
        <w:jc w:val="both"/>
        <w:rPr>
          <w:rFonts w:ascii="Times New Roman" w:eastAsia="MS Mincho" w:hAnsi="Times New Roman" w:cs="Times New Roman"/>
          <w:sz w:val="24"/>
          <w:szCs w:val="24"/>
        </w:rPr>
      </w:pPr>
    </w:p>
    <w:p w14:paraId="37748DC0" w14:textId="77777777" w:rsidR="00E43229" w:rsidRPr="000D3717" w:rsidRDefault="00E43229" w:rsidP="00E43229">
      <w:pPr>
        <w:jc w:val="both"/>
        <w:rPr>
          <w:rFonts w:ascii="Times New Roman" w:eastAsia="MS Mincho" w:hAnsi="Times New Roman" w:cs="Times New Roman"/>
          <w:sz w:val="24"/>
          <w:szCs w:val="24"/>
        </w:rPr>
      </w:pPr>
      <w:r w:rsidRPr="000D3717">
        <w:rPr>
          <w:rFonts w:ascii="Times New Roman" w:eastAsia="MS Mincho" w:hAnsi="Times New Roman" w:cs="Times New Roman"/>
          <w:sz w:val="24"/>
          <w:szCs w:val="24"/>
        </w:rPr>
        <w:t>Plani i veprimit për zbatimin e opsionit të rekomanduar të këtij Koncept Dokumenti do të reflektohet në Planin e Punës së Autoritetit  t</w:t>
      </w:r>
      <w:r w:rsidR="00384463">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w:t>
      </w:r>
      <w:r w:rsidR="00AE6725" w:rsidRPr="000D3717">
        <w:rPr>
          <w:rFonts w:ascii="Times New Roman" w:eastAsia="MS Mincho" w:hAnsi="Times New Roman" w:cs="Times New Roman"/>
          <w:sz w:val="24"/>
          <w:szCs w:val="24"/>
        </w:rPr>
        <w:t>Konkurrencës</w:t>
      </w:r>
      <w:r w:rsidRPr="000D3717">
        <w:rPr>
          <w:rFonts w:ascii="Times New Roman" w:eastAsia="MS Mincho" w:hAnsi="Times New Roman" w:cs="Times New Roman"/>
          <w:sz w:val="24"/>
          <w:szCs w:val="24"/>
        </w:rPr>
        <w:t xml:space="preserve"> dhe zbatim i këtij plani do të monitorohet nga </w:t>
      </w:r>
      <w:proofErr w:type="spellStart"/>
      <w:r w:rsidRPr="000D3717">
        <w:rPr>
          <w:rFonts w:ascii="Times New Roman" w:eastAsia="MS Mincho" w:hAnsi="Times New Roman" w:cs="Times New Roman"/>
          <w:sz w:val="24"/>
          <w:szCs w:val="24"/>
        </w:rPr>
        <w:t>menaxhmenti</w:t>
      </w:r>
      <w:proofErr w:type="spellEnd"/>
      <w:r w:rsidRPr="000D3717">
        <w:rPr>
          <w:rFonts w:ascii="Times New Roman" w:eastAsia="MS Mincho" w:hAnsi="Times New Roman" w:cs="Times New Roman"/>
          <w:sz w:val="24"/>
          <w:szCs w:val="24"/>
        </w:rPr>
        <w:t xml:space="preserve"> i Autoritetit  t</w:t>
      </w:r>
      <w:r w:rsidR="00384463">
        <w:rPr>
          <w:rFonts w:ascii="Times New Roman" w:eastAsia="MS Mincho" w:hAnsi="Times New Roman" w:cs="Times New Roman"/>
          <w:sz w:val="24"/>
          <w:szCs w:val="24"/>
        </w:rPr>
        <w:t>ë</w:t>
      </w:r>
      <w:r w:rsidRPr="000D3717">
        <w:rPr>
          <w:rFonts w:ascii="Times New Roman" w:eastAsia="MS Mincho" w:hAnsi="Times New Roman" w:cs="Times New Roman"/>
          <w:sz w:val="24"/>
          <w:szCs w:val="24"/>
        </w:rPr>
        <w:t xml:space="preserve">  </w:t>
      </w:r>
      <w:r w:rsidR="00AE6725" w:rsidRPr="000D3717">
        <w:rPr>
          <w:rFonts w:ascii="Times New Roman" w:eastAsia="MS Mincho" w:hAnsi="Times New Roman" w:cs="Times New Roman"/>
          <w:sz w:val="24"/>
          <w:szCs w:val="24"/>
        </w:rPr>
        <w:t>Konkurrencës</w:t>
      </w:r>
      <w:r w:rsidRPr="000D3717">
        <w:rPr>
          <w:rFonts w:ascii="Times New Roman" w:eastAsia="MS Mincho" w:hAnsi="Times New Roman" w:cs="Times New Roman"/>
          <w:sz w:val="24"/>
          <w:szCs w:val="24"/>
        </w:rPr>
        <w:t xml:space="preserve">, nëpërmjet Departamentit për Integrim Evropian dhe Koordinim të Politikave. </w:t>
      </w:r>
    </w:p>
    <w:p w14:paraId="0D6EC3B0" w14:textId="77777777" w:rsidR="00051DC1" w:rsidRPr="000D3717" w:rsidRDefault="00051DC1" w:rsidP="0075339D">
      <w:pPr>
        <w:rPr>
          <w:rFonts w:ascii="Times New Roman" w:hAnsi="Times New Roman" w:cs="Times New Roman"/>
          <w:sz w:val="24"/>
          <w:szCs w:val="24"/>
        </w:rPr>
      </w:pPr>
    </w:p>
    <w:p w14:paraId="6D55EE9B" w14:textId="77777777" w:rsidR="00051DC1" w:rsidRPr="000D3717" w:rsidRDefault="00051DC1" w:rsidP="0075339D">
      <w:pPr>
        <w:rPr>
          <w:rFonts w:ascii="Times New Roman" w:hAnsi="Times New Roman" w:cs="Times New Roman"/>
          <w:sz w:val="24"/>
          <w:szCs w:val="24"/>
        </w:rPr>
      </w:pPr>
    </w:p>
    <w:p w14:paraId="14AFAEF1" w14:textId="77777777" w:rsidR="00051DC1" w:rsidRPr="000D3717" w:rsidRDefault="00051DC1" w:rsidP="0075339D">
      <w:pPr>
        <w:rPr>
          <w:rFonts w:ascii="Times New Roman" w:hAnsi="Times New Roman" w:cs="Times New Roman"/>
          <w:sz w:val="24"/>
          <w:szCs w:val="24"/>
        </w:rPr>
        <w:sectPr w:rsidR="00051DC1" w:rsidRPr="000D3717" w:rsidSect="00942D7C">
          <w:headerReference w:type="default" r:id="rId36"/>
          <w:footerReference w:type="default" r:id="rId37"/>
          <w:pgSz w:w="12240" w:h="15840"/>
          <w:pgMar w:top="1440" w:right="1440" w:bottom="1440" w:left="1440" w:header="720" w:footer="720" w:gutter="0"/>
          <w:cols w:space="720"/>
          <w:docGrid w:linePitch="360"/>
        </w:sectPr>
      </w:pPr>
    </w:p>
    <w:p w14:paraId="32D70621" w14:textId="77777777" w:rsidR="008D7069" w:rsidRPr="000D3717" w:rsidRDefault="00180BB0" w:rsidP="00B1424D">
      <w:pPr>
        <w:pStyle w:val="Heading1"/>
        <w:rPr>
          <w:rFonts w:ascii="Times New Roman" w:hAnsi="Times New Roman" w:cs="Times New Roman"/>
          <w:sz w:val="24"/>
          <w:szCs w:val="24"/>
        </w:rPr>
      </w:pPr>
      <w:bookmarkStart w:id="22" w:name="_Toc532388167"/>
      <w:r w:rsidRPr="000D3717">
        <w:rPr>
          <w:rFonts w:ascii="Times New Roman" w:hAnsi="Times New Roman" w:cs="Times New Roman"/>
          <w:sz w:val="24"/>
          <w:szCs w:val="24"/>
        </w:rPr>
        <w:lastRenderedPageBreak/>
        <w:t>Shtojca</w:t>
      </w:r>
      <w:r w:rsidR="00942D7C" w:rsidRPr="000D3717">
        <w:rPr>
          <w:rFonts w:ascii="Times New Roman" w:hAnsi="Times New Roman" w:cs="Times New Roman"/>
          <w:sz w:val="24"/>
          <w:szCs w:val="24"/>
        </w:rPr>
        <w:t xml:space="preserve"> 1: </w:t>
      </w:r>
      <w:r w:rsidR="00162D8C" w:rsidRPr="000D3717">
        <w:rPr>
          <w:rFonts w:ascii="Times New Roman" w:hAnsi="Times New Roman" w:cs="Times New Roman"/>
          <w:sz w:val="24"/>
          <w:szCs w:val="24"/>
        </w:rPr>
        <w:t>Forma e vlerësimit për ndikim</w:t>
      </w:r>
      <w:r w:rsidR="002D17EC" w:rsidRPr="000D3717">
        <w:rPr>
          <w:rFonts w:ascii="Times New Roman" w:hAnsi="Times New Roman" w:cs="Times New Roman"/>
          <w:sz w:val="24"/>
          <w:szCs w:val="24"/>
        </w:rPr>
        <w:t>in</w:t>
      </w:r>
      <w:r w:rsidR="00162D8C" w:rsidRPr="000D3717">
        <w:rPr>
          <w:rFonts w:ascii="Times New Roman" w:hAnsi="Times New Roman" w:cs="Times New Roman"/>
          <w:sz w:val="24"/>
          <w:szCs w:val="24"/>
        </w:rPr>
        <w:t xml:space="preserve"> ekonomik</w:t>
      </w:r>
      <w:bookmarkEnd w:id="22"/>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496"/>
        <w:gridCol w:w="114"/>
      </w:tblGrid>
      <w:tr w:rsidR="00494035" w:rsidRPr="000D3717" w14:paraId="0523A66D" w14:textId="77777777" w:rsidTr="00D0483F">
        <w:trPr>
          <w:gridAfter w:val="1"/>
          <w:wAfter w:w="114" w:type="dxa"/>
        </w:trPr>
        <w:tc>
          <w:tcPr>
            <w:tcW w:w="1710" w:type="dxa"/>
            <w:vMerge w:val="restart"/>
          </w:tcPr>
          <w:p w14:paraId="7E12EAC3"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Kategoria e ndikimeve ekonomike</w:t>
            </w:r>
          </w:p>
        </w:tc>
        <w:tc>
          <w:tcPr>
            <w:tcW w:w="4050" w:type="dxa"/>
            <w:vMerge w:val="restart"/>
          </w:tcPr>
          <w:p w14:paraId="36C545AF"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Ndikimi kryesor</w:t>
            </w:r>
          </w:p>
        </w:tc>
        <w:tc>
          <w:tcPr>
            <w:tcW w:w="1620" w:type="dxa"/>
            <w:gridSpan w:val="2"/>
          </w:tcPr>
          <w:p w14:paraId="490F1461"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A pritet të ndodhë ky ndikim?</w:t>
            </w:r>
          </w:p>
        </w:tc>
        <w:tc>
          <w:tcPr>
            <w:tcW w:w="2430" w:type="dxa"/>
          </w:tcPr>
          <w:p w14:paraId="628DA3DB"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Numri i organizatave, kompanive dhe/ose individëve të prekur</w:t>
            </w:r>
          </w:p>
        </w:tc>
        <w:tc>
          <w:tcPr>
            <w:tcW w:w="1620" w:type="dxa"/>
          </w:tcPr>
          <w:p w14:paraId="6ED3E17F"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Përfitimi i pritshëm ose kostoja e ndikimit</w:t>
            </w:r>
          </w:p>
        </w:tc>
        <w:tc>
          <w:tcPr>
            <w:tcW w:w="2496" w:type="dxa"/>
          </w:tcPr>
          <w:p w14:paraId="517EB647"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Niveli i preferuar i analizës</w:t>
            </w:r>
          </w:p>
        </w:tc>
      </w:tr>
      <w:tr w:rsidR="00494035" w:rsidRPr="000D3717" w14:paraId="259FE866" w14:textId="77777777" w:rsidTr="00D0483F">
        <w:trPr>
          <w:gridAfter w:val="1"/>
          <w:wAfter w:w="114" w:type="dxa"/>
        </w:trPr>
        <w:tc>
          <w:tcPr>
            <w:tcW w:w="1710" w:type="dxa"/>
            <w:vMerge/>
          </w:tcPr>
          <w:p w14:paraId="43B454E7" w14:textId="77777777" w:rsidR="00494035" w:rsidRPr="000D3717" w:rsidRDefault="00494035" w:rsidP="00853321">
            <w:pPr>
              <w:rPr>
                <w:rFonts w:ascii="Times New Roman" w:hAnsi="Times New Roman" w:cs="Times New Roman"/>
                <w:b/>
                <w:sz w:val="24"/>
                <w:szCs w:val="24"/>
              </w:rPr>
            </w:pPr>
          </w:p>
        </w:tc>
        <w:tc>
          <w:tcPr>
            <w:tcW w:w="4050" w:type="dxa"/>
            <w:vMerge/>
          </w:tcPr>
          <w:p w14:paraId="7829E952" w14:textId="77777777" w:rsidR="00494035" w:rsidRPr="000D3717" w:rsidRDefault="00494035" w:rsidP="00853321">
            <w:pPr>
              <w:rPr>
                <w:rFonts w:ascii="Times New Roman" w:hAnsi="Times New Roman" w:cs="Times New Roman"/>
                <w:b/>
                <w:sz w:val="24"/>
                <w:szCs w:val="24"/>
              </w:rPr>
            </w:pPr>
          </w:p>
        </w:tc>
        <w:tc>
          <w:tcPr>
            <w:tcW w:w="810" w:type="dxa"/>
          </w:tcPr>
          <w:p w14:paraId="7AE8F2F6"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Po</w:t>
            </w:r>
          </w:p>
        </w:tc>
        <w:tc>
          <w:tcPr>
            <w:tcW w:w="810" w:type="dxa"/>
          </w:tcPr>
          <w:p w14:paraId="55BDB117"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Jo</w:t>
            </w:r>
          </w:p>
        </w:tc>
        <w:tc>
          <w:tcPr>
            <w:tcW w:w="2430" w:type="dxa"/>
          </w:tcPr>
          <w:p w14:paraId="693FA495"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1620" w:type="dxa"/>
          </w:tcPr>
          <w:p w14:paraId="4999D12E" w14:textId="77777777" w:rsidR="00494035" w:rsidRPr="000D3717" w:rsidRDefault="00494035" w:rsidP="00853321">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2496" w:type="dxa"/>
          </w:tcPr>
          <w:p w14:paraId="2CFA9E84" w14:textId="77777777" w:rsidR="00494035" w:rsidRPr="000D3717" w:rsidRDefault="00494035" w:rsidP="00853321">
            <w:pPr>
              <w:rPr>
                <w:rFonts w:ascii="Times New Roman" w:hAnsi="Times New Roman" w:cs="Times New Roman"/>
                <w:b/>
                <w:sz w:val="24"/>
                <w:szCs w:val="24"/>
              </w:rPr>
            </w:pPr>
          </w:p>
        </w:tc>
      </w:tr>
      <w:tr w:rsidR="00494035" w:rsidRPr="000D3717" w14:paraId="7BAC1C15" w14:textId="77777777" w:rsidTr="00D0483F">
        <w:trPr>
          <w:gridAfter w:val="1"/>
          <w:wAfter w:w="114" w:type="dxa"/>
        </w:trPr>
        <w:tc>
          <w:tcPr>
            <w:tcW w:w="1710" w:type="dxa"/>
            <w:vMerge w:val="restart"/>
          </w:tcPr>
          <w:p w14:paraId="02A35E9C"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Vendet e punës</w:t>
            </w:r>
            <w:r w:rsidRPr="000D3717">
              <w:rPr>
                <w:rStyle w:val="FootnoteReference"/>
                <w:rFonts w:ascii="Times New Roman" w:hAnsi="Times New Roman" w:cs="Times New Roman"/>
                <w:sz w:val="24"/>
                <w:szCs w:val="24"/>
              </w:rPr>
              <w:footnoteReference w:id="22"/>
            </w:r>
          </w:p>
        </w:tc>
        <w:tc>
          <w:tcPr>
            <w:tcW w:w="4050" w:type="dxa"/>
          </w:tcPr>
          <w:p w14:paraId="50713A12"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rritet numri aktual i vendeve të punës n</w:t>
            </w:r>
            <w:r>
              <w:rPr>
                <w:rFonts w:ascii="Times New Roman" w:hAnsi="Times New Roman" w:cs="Times New Roman"/>
                <w:sz w:val="24"/>
                <w:szCs w:val="24"/>
              </w:rPr>
              <w:t>ë</w:t>
            </w:r>
            <w:r w:rsidRPr="000D3717">
              <w:rPr>
                <w:rFonts w:ascii="Times New Roman" w:hAnsi="Times New Roman" w:cs="Times New Roman"/>
                <w:sz w:val="24"/>
                <w:szCs w:val="24"/>
              </w:rPr>
              <w:t xml:space="preserve"> treg?</w:t>
            </w:r>
          </w:p>
        </w:tc>
        <w:tc>
          <w:tcPr>
            <w:tcW w:w="810" w:type="dxa"/>
          </w:tcPr>
          <w:p w14:paraId="22CDB59C" w14:textId="2B537758"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48BCEFD2" w14:textId="77777777" w:rsidR="00494035" w:rsidRPr="000D3717" w:rsidRDefault="00494035" w:rsidP="00853321">
            <w:pPr>
              <w:rPr>
                <w:rFonts w:ascii="Times New Roman" w:hAnsi="Times New Roman" w:cs="Times New Roman"/>
                <w:sz w:val="24"/>
                <w:szCs w:val="24"/>
              </w:rPr>
            </w:pPr>
          </w:p>
        </w:tc>
        <w:tc>
          <w:tcPr>
            <w:tcW w:w="2430" w:type="dxa"/>
          </w:tcPr>
          <w:p w14:paraId="13493671"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Lartë</w:t>
            </w:r>
          </w:p>
        </w:tc>
        <w:tc>
          <w:tcPr>
            <w:tcW w:w="1620" w:type="dxa"/>
          </w:tcPr>
          <w:p w14:paraId="7ABA36C8" w14:textId="6FEE4132" w:rsidR="00494035" w:rsidRPr="000D3717" w:rsidRDefault="00F4350C"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2496" w:type="dxa"/>
          </w:tcPr>
          <w:p w14:paraId="54D49D87"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 xml:space="preserve">Propozim politika ndikon në të gjitha ndërmarrjet që operojnë në Kosovë. Mirëpo niveli i ndikimit është i ulët. </w:t>
            </w:r>
          </w:p>
        </w:tc>
      </w:tr>
      <w:tr w:rsidR="00494035" w:rsidRPr="000D3717" w14:paraId="5D8634B7" w14:textId="77777777" w:rsidTr="00D0483F">
        <w:trPr>
          <w:gridAfter w:val="1"/>
          <w:wAfter w:w="114" w:type="dxa"/>
        </w:trPr>
        <w:tc>
          <w:tcPr>
            <w:tcW w:w="1710" w:type="dxa"/>
            <w:vMerge/>
          </w:tcPr>
          <w:p w14:paraId="14BE3BE1" w14:textId="77777777" w:rsidR="00494035" w:rsidRPr="000D3717" w:rsidRDefault="00494035" w:rsidP="00853321">
            <w:pPr>
              <w:rPr>
                <w:rFonts w:ascii="Times New Roman" w:hAnsi="Times New Roman" w:cs="Times New Roman"/>
                <w:sz w:val="24"/>
                <w:szCs w:val="24"/>
              </w:rPr>
            </w:pPr>
          </w:p>
        </w:tc>
        <w:tc>
          <w:tcPr>
            <w:tcW w:w="4050" w:type="dxa"/>
          </w:tcPr>
          <w:p w14:paraId="610BF017"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zvogëlohet numri aktual i vendeve të punës?</w:t>
            </w:r>
          </w:p>
        </w:tc>
        <w:tc>
          <w:tcPr>
            <w:tcW w:w="810" w:type="dxa"/>
          </w:tcPr>
          <w:p w14:paraId="22069BE4" w14:textId="77777777" w:rsidR="00494035" w:rsidRPr="000D3717" w:rsidRDefault="00494035" w:rsidP="00853321">
            <w:pPr>
              <w:rPr>
                <w:rFonts w:ascii="Times New Roman" w:hAnsi="Times New Roman" w:cs="Times New Roman"/>
                <w:sz w:val="24"/>
                <w:szCs w:val="24"/>
              </w:rPr>
            </w:pPr>
          </w:p>
        </w:tc>
        <w:tc>
          <w:tcPr>
            <w:tcW w:w="810" w:type="dxa"/>
          </w:tcPr>
          <w:p w14:paraId="72974521" w14:textId="5212F486"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3043F1E2" w14:textId="77777777" w:rsidR="00494035" w:rsidRPr="000D3717" w:rsidRDefault="00494035" w:rsidP="00853321">
            <w:pPr>
              <w:rPr>
                <w:rFonts w:ascii="Times New Roman" w:hAnsi="Times New Roman" w:cs="Times New Roman"/>
                <w:sz w:val="24"/>
                <w:szCs w:val="24"/>
              </w:rPr>
            </w:pPr>
          </w:p>
        </w:tc>
        <w:tc>
          <w:tcPr>
            <w:tcW w:w="1620" w:type="dxa"/>
          </w:tcPr>
          <w:p w14:paraId="39A33E59" w14:textId="77777777" w:rsidR="00494035" w:rsidRPr="000D3717" w:rsidRDefault="00494035" w:rsidP="00853321">
            <w:pPr>
              <w:rPr>
                <w:rFonts w:ascii="Times New Roman" w:hAnsi="Times New Roman" w:cs="Times New Roman"/>
                <w:sz w:val="24"/>
                <w:szCs w:val="24"/>
              </w:rPr>
            </w:pPr>
          </w:p>
        </w:tc>
        <w:tc>
          <w:tcPr>
            <w:tcW w:w="2496" w:type="dxa"/>
          </w:tcPr>
          <w:p w14:paraId="469BAE9A" w14:textId="77777777" w:rsidR="00494035" w:rsidRPr="000D3717" w:rsidRDefault="00494035" w:rsidP="00853321">
            <w:pPr>
              <w:rPr>
                <w:rFonts w:ascii="Times New Roman" w:hAnsi="Times New Roman" w:cs="Times New Roman"/>
                <w:sz w:val="24"/>
                <w:szCs w:val="24"/>
              </w:rPr>
            </w:pPr>
          </w:p>
        </w:tc>
      </w:tr>
      <w:tr w:rsidR="00494035" w:rsidRPr="000D3717" w14:paraId="310FEBE6" w14:textId="77777777" w:rsidTr="00D0483F">
        <w:trPr>
          <w:gridAfter w:val="1"/>
          <w:wAfter w:w="114" w:type="dxa"/>
        </w:trPr>
        <w:tc>
          <w:tcPr>
            <w:tcW w:w="1710" w:type="dxa"/>
            <w:vMerge/>
          </w:tcPr>
          <w:p w14:paraId="00A14A78" w14:textId="77777777" w:rsidR="00494035" w:rsidRPr="000D3717" w:rsidRDefault="00494035" w:rsidP="00853321">
            <w:pPr>
              <w:rPr>
                <w:rFonts w:ascii="Times New Roman" w:hAnsi="Times New Roman" w:cs="Times New Roman"/>
                <w:sz w:val="24"/>
                <w:szCs w:val="24"/>
              </w:rPr>
            </w:pPr>
          </w:p>
        </w:tc>
        <w:tc>
          <w:tcPr>
            <w:tcW w:w="4050" w:type="dxa"/>
          </w:tcPr>
          <w:p w14:paraId="46B285FB"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ndikojë në nivelin e pagesës?</w:t>
            </w:r>
          </w:p>
        </w:tc>
        <w:tc>
          <w:tcPr>
            <w:tcW w:w="810" w:type="dxa"/>
          </w:tcPr>
          <w:p w14:paraId="49CAC45A" w14:textId="77777777" w:rsidR="00494035" w:rsidRPr="000D3717" w:rsidRDefault="00494035" w:rsidP="00853321">
            <w:pPr>
              <w:rPr>
                <w:rFonts w:ascii="Times New Roman" w:hAnsi="Times New Roman" w:cs="Times New Roman"/>
                <w:sz w:val="24"/>
                <w:szCs w:val="24"/>
              </w:rPr>
            </w:pPr>
          </w:p>
        </w:tc>
        <w:tc>
          <w:tcPr>
            <w:tcW w:w="810" w:type="dxa"/>
          </w:tcPr>
          <w:p w14:paraId="02DB91A8" w14:textId="21CB5556"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3C6F8F28"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1ED3C30F" w14:textId="77777777" w:rsidR="00494035" w:rsidRPr="000D3717" w:rsidRDefault="00494035" w:rsidP="00853321">
            <w:pPr>
              <w:rPr>
                <w:rFonts w:ascii="Times New Roman" w:hAnsi="Times New Roman" w:cs="Times New Roman"/>
                <w:sz w:val="24"/>
                <w:szCs w:val="24"/>
              </w:rPr>
            </w:pPr>
          </w:p>
        </w:tc>
        <w:tc>
          <w:tcPr>
            <w:tcW w:w="2496" w:type="dxa"/>
          </w:tcPr>
          <w:p w14:paraId="3CEED28B" w14:textId="77777777" w:rsidR="00494035" w:rsidRPr="000D3717" w:rsidRDefault="00494035" w:rsidP="00853321">
            <w:pPr>
              <w:rPr>
                <w:rFonts w:ascii="Times New Roman" w:hAnsi="Times New Roman" w:cs="Times New Roman"/>
                <w:sz w:val="24"/>
                <w:szCs w:val="24"/>
              </w:rPr>
            </w:pPr>
          </w:p>
        </w:tc>
      </w:tr>
      <w:tr w:rsidR="00494035" w:rsidRPr="000D3717" w14:paraId="36478012" w14:textId="77777777" w:rsidTr="00D0483F">
        <w:trPr>
          <w:gridAfter w:val="1"/>
          <w:wAfter w:w="114" w:type="dxa"/>
        </w:trPr>
        <w:tc>
          <w:tcPr>
            <w:tcW w:w="1710" w:type="dxa"/>
            <w:vMerge/>
          </w:tcPr>
          <w:p w14:paraId="4AD9A262" w14:textId="77777777" w:rsidR="00494035" w:rsidRPr="000D3717" w:rsidRDefault="00494035" w:rsidP="00853321">
            <w:pPr>
              <w:rPr>
                <w:rFonts w:ascii="Times New Roman" w:hAnsi="Times New Roman" w:cs="Times New Roman"/>
                <w:sz w:val="24"/>
                <w:szCs w:val="24"/>
              </w:rPr>
            </w:pPr>
          </w:p>
        </w:tc>
        <w:tc>
          <w:tcPr>
            <w:tcW w:w="4050" w:type="dxa"/>
          </w:tcPr>
          <w:p w14:paraId="1A375C8D"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ndikojë në lehtësimin e gjetjes së një vendi të punës?</w:t>
            </w:r>
          </w:p>
        </w:tc>
        <w:tc>
          <w:tcPr>
            <w:tcW w:w="810" w:type="dxa"/>
          </w:tcPr>
          <w:p w14:paraId="58E6439F" w14:textId="539EF36E"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14BCFFA9" w14:textId="77777777" w:rsidR="00494035" w:rsidRPr="000D3717" w:rsidRDefault="00494035" w:rsidP="00853321">
            <w:pPr>
              <w:rPr>
                <w:rFonts w:ascii="Times New Roman" w:hAnsi="Times New Roman" w:cs="Times New Roman"/>
                <w:sz w:val="24"/>
                <w:szCs w:val="24"/>
              </w:rPr>
            </w:pPr>
          </w:p>
        </w:tc>
        <w:tc>
          <w:tcPr>
            <w:tcW w:w="2430" w:type="dxa"/>
          </w:tcPr>
          <w:p w14:paraId="31A8A227"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2D618F01" w14:textId="09D1A771" w:rsidR="00494035" w:rsidRPr="000D3717" w:rsidRDefault="005B54DA"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2496" w:type="dxa"/>
          </w:tcPr>
          <w:p w14:paraId="12B7F53A" w14:textId="4B115A5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Ndikimi në ndërmarrjet e “</w:t>
            </w:r>
            <w:r w:rsidR="00EF7AF9">
              <w:rPr>
                <w:rFonts w:ascii="Times New Roman" w:hAnsi="Times New Roman" w:cs="Times New Roman"/>
                <w:sz w:val="24"/>
                <w:szCs w:val="24"/>
              </w:rPr>
              <w:t>prekura “është</w:t>
            </w:r>
            <w:r>
              <w:rPr>
                <w:rFonts w:ascii="Times New Roman" w:hAnsi="Times New Roman" w:cs="Times New Roman"/>
                <w:sz w:val="24"/>
                <w:szCs w:val="24"/>
              </w:rPr>
              <w:t xml:space="preserve"> neutral në krahasim me gjendjen aktuale.  Çdo ndikim mund të jetë i tërthortë. </w:t>
            </w:r>
          </w:p>
        </w:tc>
      </w:tr>
      <w:tr w:rsidR="00494035" w:rsidRPr="000D3717" w14:paraId="7E06D31B" w14:textId="77777777" w:rsidTr="00D0483F">
        <w:trPr>
          <w:gridAfter w:val="1"/>
          <w:wAfter w:w="114" w:type="dxa"/>
        </w:trPr>
        <w:tc>
          <w:tcPr>
            <w:tcW w:w="1710" w:type="dxa"/>
            <w:vMerge w:val="restart"/>
          </w:tcPr>
          <w:p w14:paraId="70090FBF"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Bërja e biznesit</w:t>
            </w:r>
          </w:p>
        </w:tc>
        <w:tc>
          <w:tcPr>
            <w:tcW w:w="4050" w:type="dxa"/>
          </w:tcPr>
          <w:p w14:paraId="26AE1118"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 xml:space="preserve">A do të ndikojë në qasjen në financa për biznes? </w:t>
            </w:r>
          </w:p>
        </w:tc>
        <w:tc>
          <w:tcPr>
            <w:tcW w:w="810" w:type="dxa"/>
          </w:tcPr>
          <w:p w14:paraId="7ED27F2F" w14:textId="77777777" w:rsidR="00494035" w:rsidRPr="000D3717" w:rsidRDefault="00494035" w:rsidP="00853321">
            <w:pPr>
              <w:rPr>
                <w:rFonts w:ascii="Times New Roman" w:hAnsi="Times New Roman" w:cs="Times New Roman"/>
                <w:sz w:val="24"/>
                <w:szCs w:val="24"/>
              </w:rPr>
            </w:pPr>
          </w:p>
        </w:tc>
        <w:tc>
          <w:tcPr>
            <w:tcW w:w="810" w:type="dxa"/>
          </w:tcPr>
          <w:p w14:paraId="6C663A7D" w14:textId="1CAB2166"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28DEB689" w14:textId="77777777" w:rsidR="00494035" w:rsidRPr="000D3717" w:rsidRDefault="00494035" w:rsidP="00853321">
            <w:pPr>
              <w:rPr>
                <w:rFonts w:ascii="Times New Roman" w:hAnsi="Times New Roman" w:cs="Times New Roman"/>
                <w:sz w:val="24"/>
                <w:szCs w:val="24"/>
              </w:rPr>
            </w:pPr>
          </w:p>
        </w:tc>
        <w:tc>
          <w:tcPr>
            <w:tcW w:w="1620" w:type="dxa"/>
          </w:tcPr>
          <w:p w14:paraId="030D799E" w14:textId="77777777" w:rsidR="00494035" w:rsidRPr="000D3717" w:rsidRDefault="00494035" w:rsidP="00853321">
            <w:pPr>
              <w:rPr>
                <w:rFonts w:ascii="Times New Roman" w:hAnsi="Times New Roman" w:cs="Times New Roman"/>
                <w:sz w:val="24"/>
                <w:szCs w:val="24"/>
              </w:rPr>
            </w:pPr>
          </w:p>
        </w:tc>
        <w:tc>
          <w:tcPr>
            <w:tcW w:w="2496" w:type="dxa"/>
          </w:tcPr>
          <w:p w14:paraId="36FF5FB1" w14:textId="77777777" w:rsidR="00494035" w:rsidRPr="000D3717" w:rsidRDefault="00494035" w:rsidP="00853321">
            <w:pPr>
              <w:rPr>
                <w:rFonts w:ascii="Times New Roman" w:hAnsi="Times New Roman" w:cs="Times New Roman"/>
                <w:sz w:val="24"/>
                <w:szCs w:val="24"/>
              </w:rPr>
            </w:pPr>
          </w:p>
        </w:tc>
      </w:tr>
      <w:tr w:rsidR="00494035" w:rsidRPr="000D3717" w14:paraId="74C304E0" w14:textId="77777777" w:rsidTr="00D0483F">
        <w:trPr>
          <w:gridAfter w:val="1"/>
          <w:wAfter w:w="114" w:type="dxa"/>
        </w:trPr>
        <w:tc>
          <w:tcPr>
            <w:tcW w:w="1710" w:type="dxa"/>
            <w:vMerge/>
          </w:tcPr>
          <w:p w14:paraId="66DDA06D" w14:textId="77777777" w:rsidR="00494035" w:rsidRPr="000D3717" w:rsidRDefault="00494035" w:rsidP="00853321">
            <w:pPr>
              <w:rPr>
                <w:rFonts w:ascii="Times New Roman" w:hAnsi="Times New Roman" w:cs="Times New Roman"/>
                <w:sz w:val="24"/>
                <w:szCs w:val="24"/>
              </w:rPr>
            </w:pPr>
          </w:p>
        </w:tc>
        <w:tc>
          <w:tcPr>
            <w:tcW w:w="4050" w:type="dxa"/>
          </w:tcPr>
          <w:p w14:paraId="5F606BE8"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largohen nga tregu produkte të caktuara?</w:t>
            </w:r>
          </w:p>
        </w:tc>
        <w:tc>
          <w:tcPr>
            <w:tcW w:w="810" w:type="dxa"/>
          </w:tcPr>
          <w:p w14:paraId="11189C38" w14:textId="77777777" w:rsidR="00494035" w:rsidRPr="000D3717" w:rsidRDefault="00494035" w:rsidP="00853321">
            <w:pPr>
              <w:rPr>
                <w:rFonts w:ascii="Times New Roman" w:hAnsi="Times New Roman" w:cs="Times New Roman"/>
                <w:sz w:val="24"/>
                <w:szCs w:val="24"/>
              </w:rPr>
            </w:pPr>
          </w:p>
        </w:tc>
        <w:tc>
          <w:tcPr>
            <w:tcW w:w="810" w:type="dxa"/>
          </w:tcPr>
          <w:p w14:paraId="782DCA43" w14:textId="165931F7"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0FB555D8" w14:textId="77777777" w:rsidR="00494035" w:rsidRPr="000D3717" w:rsidRDefault="00494035" w:rsidP="00853321">
            <w:pPr>
              <w:rPr>
                <w:rFonts w:ascii="Times New Roman" w:hAnsi="Times New Roman" w:cs="Times New Roman"/>
                <w:sz w:val="24"/>
                <w:szCs w:val="24"/>
              </w:rPr>
            </w:pPr>
          </w:p>
        </w:tc>
        <w:tc>
          <w:tcPr>
            <w:tcW w:w="1620" w:type="dxa"/>
          </w:tcPr>
          <w:p w14:paraId="3AAAE95B" w14:textId="77777777" w:rsidR="00494035" w:rsidRPr="000D3717" w:rsidRDefault="00494035" w:rsidP="00853321">
            <w:pPr>
              <w:rPr>
                <w:rFonts w:ascii="Times New Roman" w:hAnsi="Times New Roman" w:cs="Times New Roman"/>
                <w:sz w:val="24"/>
                <w:szCs w:val="24"/>
              </w:rPr>
            </w:pPr>
          </w:p>
        </w:tc>
        <w:tc>
          <w:tcPr>
            <w:tcW w:w="2496" w:type="dxa"/>
          </w:tcPr>
          <w:p w14:paraId="49C71024" w14:textId="77777777" w:rsidR="00494035" w:rsidRPr="000D3717" w:rsidRDefault="00494035" w:rsidP="00853321">
            <w:pPr>
              <w:rPr>
                <w:rFonts w:ascii="Times New Roman" w:hAnsi="Times New Roman" w:cs="Times New Roman"/>
                <w:sz w:val="24"/>
                <w:szCs w:val="24"/>
              </w:rPr>
            </w:pPr>
          </w:p>
        </w:tc>
      </w:tr>
      <w:tr w:rsidR="00494035" w:rsidRPr="000D3717" w14:paraId="1DC66838" w14:textId="77777777" w:rsidTr="00D0483F">
        <w:trPr>
          <w:gridAfter w:val="1"/>
          <w:wAfter w:w="114" w:type="dxa"/>
        </w:trPr>
        <w:tc>
          <w:tcPr>
            <w:tcW w:w="1710" w:type="dxa"/>
            <w:vMerge/>
          </w:tcPr>
          <w:p w14:paraId="789EF05F" w14:textId="77777777" w:rsidR="00494035" w:rsidRPr="000D3717" w:rsidRDefault="00494035" w:rsidP="00853321">
            <w:pPr>
              <w:rPr>
                <w:rFonts w:ascii="Times New Roman" w:hAnsi="Times New Roman" w:cs="Times New Roman"/>
                <w:sz w:val="24"/>
                <w:szCs w:val="24"/>
              </w:rPr>
            </w:pPr>
          </w:p>
        </w:tc>
        <w:tc>
          <w:tcPr>
            <w:tcW w:w="4050" w:type="dxa"/>
          </w:tcPr>
          <w:p w14:paraId="0478550A"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lejohen në treg produkte të caktuara?</w:t>
            </w:r>
          </w:p>
        </w:tc>
        <w:tc>
          <w:tcPr>
            <w:tcW w:w="810" w:type="dxa"/>
          </w:tcPr>
          <w:p w14:paraId="17632319" w14:textId="77777777" w:rsidR="00494035" w:rsidRPr="000D3717" w:rsidRDefault="00494035" w:rsidP="00853321">
            <w:pPr>
              <w:rPr>
                <w:rFonts w:ascii="Times New Roman" w:hAnsi="Times New Roman" w:cs="Times New Roman"/>
                <w:sz w:val="24"/>
                <w:szCs w:val="24"/>
              </w:rPr>
            </w:pPr>
          </w:p>
        </w:tc>
        <w:tc>
          <w:tcPr>
            <w:tcW w:w="810" w:type="dxa"/>
          </w:tcPr>
          <w:p w14:paraId="51462DFA" w14:textId="77777777" w:rsidR="00494035" w:rsidRPr="000D3717" w:rsidRDefault="00494035" w:rsidP="00853321">
            <w:pPr>
              <w:rPr>
                <w:rFonts w:ascii="Times New Roman" w:hAnsi="Times New Roman" w:cs="Times New Roman"/>
                <w:sz w:val="24"/>
                <w:szCs w:val="24"/>
              </w:rPr>
            </w:pPr>
          </w:p>
        </w:tc>
        <w:tc>
          <w:tcPr>
            <w:tcW w:w="2430" w:type="dxa"/>
          </w:tcPr>
          <w:p w14:paraId="0C5EBCFF" w14:textId="77777777" w:rsidR="00494035" w:rsidRPr="000D3717" w:rsidRDefault="00494035" w:rsidP="00853321">
            <w:pPr>
              <w:rPr>
                <w:rFonts w:ascii="Times New Roman" w:hAnsi="Times New Roman" w:cs="Times New Roman"/>
                <w:sz w:val="24"/>
                <w:szCs w:val="24"/>
              </w:rPr>
            </w:pPr>
          </w:p>
        </w:tc>
        <w:tc>
          <w:tcPr>
            <w:tcW w:w="1620" w:type="dxa"/>
          </w:tcPr>
          <w:p w14:paraId="298528B4" w14:textId="77777777" w:rsidR="00494035" w:rsidRPr="000D3717" w:rsidRDefault="00494035" w:rsidP="00853321">
            <w:pPr>
              <w:rPr>
                <w:rFonts w:ascii="Times New Roman" w:hAnsi="Times New Roman" w:cs="Times New Roman"/>
                <w:sz w:val="24"/>
                <w:szCs w:val="24"/>
              </w:rPr>
            </w:pPr>
          </w:p>
        </w:tc>
        <w:tc>
          <w:tcPr>
            <w:tcW w:w="2496" w:type="dxa"/>
          </w:tcPr>
          <w:p w14:paraId="74773F5A" w14:textId="77777777" w:rsidR="00494035" w:rsidRPr="000D3717" w:rsidRDefault="00494035" w:rsidP="00853321">
            <w:pPr>
              <w:rPr>
                <w:rFonts w:ascii="Times New Roman" w:hAnsi="Times New Roman" w:cs="Times New Roman"/>
                <w:sz w:val="24"/>
                <w:szCs w:val="24"/>
              </w:rPr>
            </w:pPr>
          </w:p>
        </w:tc>
      </w:tr>
      <w:tr w:rsidR="00494035" w:rsidRPr="000D3717" w14:paraId="1E851DEA" w14:textId="77777777" w:rsidTr="00D0483F">
        <w:trPr>
          <w:gridAfter w:val="1"/>
          <w:wAfter w:w="114" w:type="dxa"/>
        </w:trPr>
        <w:tc>
          <w:tcPr>
            <w:tcW w:w="1710" w:type="dxa"/>
            <w:vMerge/>
          </w:tcPr>
          <w:p w14:paraId="5F98DE05" w14:textId="77777777" w:rsidR="00494035" w:rsidRPr="000D3717" w:rsidRDefault="00494035" w:rsidP="00853321">
            <w:pPr>
              <w:rPr>
                <w:rFonts w:ascii="Times New Roman" w:hAnsi="Times New Roman" w:cs="Times New Roman"/>
                <w:sz w:val="24"/>
                <w:szCs w:val="24"/>
              </w:rPr>
            </w:pPr>
          </w:p>
        </w:tc>
        <w:tc>
          <w:tcPr>
            <w:tcW w:w="4050" w:type="dxa"/>
          </w:tcPr>
          <w:p w14:paraId="068A5012"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detyrohen bizneset të mbyllen?</w:t>
            </w:r>
          </w:p>
        </w:tc>
        <w:tc>
          <w:tcPr>
            <w:tcW w:w="810" w:type="dxa"/>
          </w:tcPr>
          <w:p w14:paraId="032E6562" w14:textId="77777777" w:rsidR="00494035" w:rsidRPr="000D3717" w:rsidRDefault="00494035" w:rsidP="00853321">
            <w:pPr>
              <w:rPr>
                <w:rFonts w:ascii="Times New Roman" w:hAnsi="Times New Roman" w:cs="Times New Roman"/>
                <w:sz w:val="24"/>
                <w:szCs w:val="24"/>
              </w:rPr>
            </w:pPr>
          </w:p>
        </w:tc>
        <w:tc>
          <w:tcPr>
            <w:tcW w:w="810" w:type="dxa"/>
          </w:tcPr>
          <w:p w14:paraId="25F425D6" w14:textId="5514CDCD"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225C564B" w14:textId="77777777" w:rsidR="00494035" w:rsidRPr="000D3717" w:rsidRDefault="00494035" w:rsidP="00853321">
            <w:pPr>
              <w:rPr>
                <w:rFonts w:ascii="Times New Roman" w:hAnsi="Times New Roman" w:cs="Times New Roman"/>
                <w:sz w:val="24"/>
                <w:szCs w:val="24"/>
              </w:rPr>
            </w:pPr>
          </w:p>
        </w:tc>
        <w:tc>
          <w:tcPr>
            <w:tcW w:w="1620" w:type="dxa"/>
          </w:tcPr>
          <w:p w14:paraId="4B6733AB" w14:textId="77777777" w:rsidR="00494035" w:rsidRPr="000D3717" w:rsidRDefault="00494035" w:rsidP="00853321">
            <w:pPr>
              <w:rPr>
                <w:rFonts w:ascii="Times New Roman" w:hAnsi="Times New Roman" w:cs="Times New Roman"/>
                <w:sz w:val="24"/>
                <w:szCs w:val="24"/>
              </w:rPr>
            </w:pPr>
          </w:p>
        </w:tc>
        <w:tc>
          <w:tcPr>
            <w:tcW w:w="2496" w:type="dxa"/>
          </w:tcPr>
          <w:p w14:paraId="5135F858" w14:textId="77777777" w:rsidR="00494035" w:rsidRPr="000D3717" w:rsidRDefault="00494035" w:rsidP="00853321">
            <w:pPr>
              <w:rPr>
                <w:rFonts w:ascii="Times New Roman" w:hAnsi="Times New Roman" w:cs="Times New Roman"/>
                <w:sz w:val="24"/>
                <w:szCs w:val="24"/>
              </w:rPr>
            </w:pPr>
          </w:p>
        </w:tc>
      </w:tr>
      <w:tr w:rsidR="00494035" w:rsidRPr="000D3717" w14:paraId="226B1C66" w14:textId="77777777" w:rsidTr="00D0483F">
        <w:trPr>
          <w:gridAfter w:val="1"/>
          <w:wAfter w:w="114" w:type="dxa"/>
          <w:trHeight w:val="325"/>
        </w:trPr>
        <w:tc>
          <w:tcPr>
            <w:tcW w:w="1710" w:type="dxa"/>
            <w:vMerge/>
          </w:tcPr>
          <w:p w14:paraId="73D95A98" w14:textId="77777777" w:rsidR="00494035" w:rsidRPr="000D3717" w:rsidRDefault="00494035" w:rsidP="00853321">
            <w:pPr>
              <w:rPr>
                <w:rFonts w:ascii="Times New Roman" w:hAnsi="Times New Roman" w:cs="Times New Roman"/>
                <w:sz w:val="24"/>
                <w:szCs w:val="24"/>
              </w:rPr>
            </w:pPr>
          </w:p>
        </w:tc>
        <w:tc>
          <w:tcPr>
            <w:tcW w:w="4050" w:type="dxa"/>
          </w:tcPr>
          <w:p w14:paraId="74756915"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A do të krijohen biznese të reja?</w:t>
            </w:r>
          </w:p>
        </w:tc>
        <w:tc>
          <w:tcPr>
            <w:tcW w:w="810" w:type="dxa"/>
          </w:tcPr>
          <w:p w14:paraId="574D522C" w14:textId="0C49D91E"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4C565274" w14:textId="77777777" w:rsidR="00494035" w:rsidRPr="000D3717" w:rsidRDefault="00494035" w:rsidP="00853321">
            <w:pPr>
              <w:rPr>
                <w:rFonts w:ascii="Times New Roman" w:hAnsi="Times New Roman" w:cs="Times New Roman"/>
                <w:sz w:val="24"/>
                <w:szCs w:val="24"/>
              </w:rPr>
            </w:pPr>
          </w:p>
        </w:tc>
        <w:tc>
          <w:tcPr>
            <w:tcW w:w="2430" w:type="dxa"/>
          </w:tcPr>
          <w:p w14:paraId="26A5F845" w14:textId="22480E1B" w:rsidR="00494035" w:rsidRPr="000D3717" w:rsidRDefault="00F4350C"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48323786" w14:textId="3068D22D" w:rsidR="00494035" w:rsidRPr="000D3717" w:rsidRDefault="005B54DA"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2496" w:type="dxa"/>
          </w:tcPr>
          <w:p w14:paraId="4988DBF5"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 xml:space="preserve">Rritja e pozitës dominuese në mënyrë të drejtpërdrejtë mund </w:t>
            </w:r>
            <w:r>
              <w:rPr>
                <w:rFonts w:ascii="Times New Roman" w:hAnsi="Times New Roman" w:cs="Times New Roman"/>
                <w:sz w:val="24"/>
                <w:szCs w:val="24"/>
              </w:rPr>
              <w:lastRenderedPageBreak/>
              <w:t xml:space="preserve">të ndikojë në mënyrë të tërthortë në krijimin bizneseve “pengesë” për krijimin e bizneseve të reja. </w:t>
            </w:r>
          </w:p>
        </w:tc>
      </w:tr>
      <w:tr w:rsidR="00494035" w:rsidRPr="000D3717" w14:paraId="429106DA" w14:textId="77777777" w:rsidTr="00D0483F">
        <w:trPr>
          <w:gridAfter w:val="1"/>
          <w:wAfter w:w="114" w:type="dxa"/>
        </w:trPr>
        <w:tc>
          <w:tcPr>
            <w:tcW w:w="1710" w:type="dxa"/>
            <w:vMerge w:val="restart"/>
          </w:tcPr>
          <w:p w14:paraId="022D3918"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lastRenderedPageBreak/>
              <w:t>Ngarkesa administrative</w:t>
            </w:r>
          </w:p>
        </w:tc>
        <w:tc>
          <w:tcPr>
            <w:tcW w:w="4050" w:type="dxa"/>
          </w:tcPr>
          <w:p w14:paraId="1BF3FE80" w14:textId="77777777" w:rsidR="00494035" w:rsidRPr="000D3717" w:rsidRDefault="00494035" w:rsidP="00853321">
            <w:pPr>
              <w:jc w:val="both"/>
              <w:rPr>
                <w:rFonts w:ascii="Times New Roman" w:hAnsi="Times New Roman" w:cs="Times New Roman"/>
                <w:sz w:val="24"/>
                <w:szCs w:val="24"/>
              </w:rPr>
            </w:pPr>
            <w:r w:rsidRPr="000D3717">
              <w:rPr>
                <w:rFonts w:ascii="Times New Roman" w:hAnsi="Times New Roman" w:cs="Times New Roman"/>
                <w:sz w:val="24"/>
                <w:szCs w:val="24"/>
              </w:rPr>
              <w:t xml:space="preserve">A do të detyrohen bizneset t’i përmbushin detyrimet e dhënies së informatave të reja? </w:t>
            </w:r>
          </w:p>
        </w:tc>
        <w:tc>
          <w:tcPr>
            <w:tcW w:w="810" w:type="dxa"/>
          </w:tcPr>
          <w:p w14:paraId="7A77317E" w14:textId="77777777" w:rsidR="00494035" w:rsidRPr="000D3717" w:rsidRDefault="00494035" w:rsidP="00853321">
            <w:pPr>
              <w:rPr>
                <w:rFonts w:ascii="Times New Roman" w:hAnsi="Times New Roman" w:cs="Times New Roman"/>
                <w:sz w:val="24"/>
                <w:szCs w:val="24"/>
              </w:rPr>
            </w:pPr>
          </w:p>
        </w:tc>
        <w:tc>
          <w:tcPr>
            <w:tcW w:w="810" w:type="dxa"/>
          </w:tcPr>
          <w:p w14:paraId="49B29A12" w14:textId="12806253"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63CD8292" w14:textId="77777777" w:rsidR="00494035" w:rsidRPr="000D3717" w:rsidRDefault="00494035" w:rsidP="00853321">
            <w:pPr>
              <w:rPr>
                <w:rFonts w:ascii="Times New Roman" w:hAnsi="Times New Roman" w:cs="Times New Roman"/>
                <w:sz w:val="24"/>
                <w:szCs w:val="24"/>
              </w:rPr>
            </w:pPr>
          </w:p>
        </w:tc>
        <w:tc>
          <w:tcPr>
            <w:tcW w:w="1620" w:type="dxa"/>
          </w:tcPr>
          <w:p w14:paraId="5E1719AB" w14:textId="77777777" w:rsidR="00494035" w:rsidRPr="000D3717" w:rsidRDefault="00494035" w:rsidP="00853321">
            <w:pPr>
              <w:rPr>
                <w:rFonts w:ascii="Times New Roman" w:hAnsi="Times New Roman" w:cs="Times New Roman"/>
                <w:sz w:val="24"/>
                <w:szCs w:val="24"/>
              </w:rPr>
            </w:pPr>
          </w:p>
        </w:tc>
        <w:tc>
          <w:tcPr>
            <w:tcW w:w="2496" w:type="dxa"/>
          </w:tcPr>
          <w:p w14:paraId="37408DE9" w14:textId="77777777" w:rsidR="00494035" w:rsidRPr="000D3717" w:rsidRDefault="00494035" w:rsidP="00853321">
            <w:pPr>
              <w:rPr>
                <w:rFonts w:ascii="Times New Roman" w:hAnsi="Times New Roman" w:cs="Times New Roman"/>
                <w:sz w:val="24"/>
                <w:szCs w:val="24"/>
              </w:rPr>
            </w:pPr>
          </w:p>
        </w:tc>
      </w:tr>
      <w:tr w:rsidR="007E1B0B" w:rsidRPr="000D3717" w14:paraId="2A930424" w14:textId="77777777" w:rsidTr="00D0483F">
        <w:trPr>
          <w:gridAfter w:val="1"/>
          <w:wAfter w:w="114" w:type="dxa"/>
        </w:trPr>
        <w:tc>
          <w:tcPr>
            <w:tcW w:w="1710" w:type="dxa"/>
            <w:vMerge/>
          </w:tcPr>
          <w:p w14:paraId="50C09F8D" w14:textId="77777777" w:rsidR="007E1B0B" w:rsidRPr="000D3717" w:rsidRDefault="007E1B0B" w:rsidP="00853321">
            <w:pPr>
              <w:rPr>
                <w:rFonts w:ascii="Times New Roman" w:hAnsi="Times New Roman" w:cs="Times New Roman"/>
                <w:sz w:val="24"/>
                <w:szCs w:val="24"/>
              </w:rPr>
            </w:pPr>
          </w:p>
        </w:tc>
        <w:tc>
          <w:tcPr>
            <w:tcW w:w="4050" w:type="dxa"/>
          </w:tcPr>
          <w:p w14:paraId="08B5D392" w14:textId="77777777" w:rsidR="007E1B0B" w:rsidRPr="000D3717" w:rsidRDefault="007E1B0B" w:rsidP="00853321">
            <w:pPr>
              <w:jc w:val="both"/>
              <w:rPr>
                <w:rFonts w:ascii="Times New Roman" w:hAnsi="Times New Roman" w:cs="Times New Roman"/>
                <w:sz w:val="24"/>
                <w:szCs w:val="24"/>
              </w:rPr>
            </w:pPr>
            <w:r w:rsidRPr="000D3717">
              <w:rPr>
                <w:rFonts w:ascii="Times New Roman" w:hAnsi="Times New Roman" w:cs="Times New Roman"/>
                <w:sz w:val="24"/>
                <w:szCs w:val="24"/>
              </w:rPr>
              <w:t>A janë thjeshtuar detyrimet e dhënies së informatave për bizneset?</w:t>
            </w:r>
          </w:p>
        </w:tc>
        <w:tc>
          <w:tcPr>
            <w:tcW w:w="810" w:type="dxa"/>
          </w:tcPr>
          <w:p w14:paraId="4282385E" w14:textId="77777777" w:rsidR="007E1B0B" w:rsidRPr="000D3717" w:rsidRDefault="007E1B0B" w:rsidP="00853321">
            <w:pPr>
              <w:rPr>
                <w:rFonts w:ascii="Times New Roman" w:hAnsi="Times New Roman" w:cs="Times New Roman"/>
                <w:sz w:val="24"/>
                <w:szCs w:val="24"/>
              </w:rPr>
            </w:pPr>
          </w:p>
        </w:tc>
        <w:tc>
          <w:tcPr>
            <w:tcW w:w="810" w:type="dxa"/>
          </w:tcPr>
          <w:p w14:paraId="18B94E0F" w14:textId="660ECD10"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17F45C1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147E5CAA" w14:textId="77777777" w:rsidR="007E1B0B" w:rsidRPr="000D3717" w:rsidRDefault="007E1B0B" w:rsidP="00853321">
            <w:pPr>
              <w:rPr>
                <w:rFonts w:ascii="Times New Roman" w:hAnsi="Times New Roman" w:cs="Times New Roman"/>
                <w:sz w:val="24"/>
                <w:szCs w:val="24"/>
              </w:rPr>
            </w:pPr>
          </w:p>
        </w:tc>
        <w:tc>
          <w:tcPr>
            <w:tcW w:w="2496" w:type="dxa"/>
          </w:tcPr>
          <w:p w14:paraId="4EB5ABF7" w14:textId="77777777" w:rsidR="007E1B0B" w:rsidRPr="000D3717" w:rsidRDefault="007E1B0B" w:rsidP="00853321">
            <w:pPr>
              <w:rPr>
                <w:rFonts w:ascii="Times New Roman" w:hAnsi="Times New Roman" w:cs="Times New Roman"/>
                <w:sz w:val="24"/>
                <w:szCs w:val="24"/>
              </w:rPr>
            </w:pPr>
          </w:p>
        </w:tc>
      </w:tr>
      <w:tr w:rsidR="007E1B0B" w:rsidRPr="000D3717" w14:paraId="52FF75D3" w14:textId="77777777" w:rsidTr="00D0483F">
        <w:trPr>
          <w:gridAfter w:val="1"/>
          <w:wAfter w:w="114" w:type="dxa"/>
        </w:trPr>
        <w:tc>
          <w:tcPr>
            <w:tcW w:w="1710" w:type="dxa"/>
            <w:vMerge w:val="restart"/>
          </w:tcPr>
          <w:p w14:paraId="651291A6"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Tregtia</w:t>
            </w:r>
          </w:p>
        </w:tc>
        <w:tc>
          <w:tcPr>
            <w:tcW w:w="4050" w:type="dxa"/>
          </w:tcPr>
          <w:p w14:paraId="146A6C77"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pritet të ndryshojnë flukset aktuale të importit? </w:t>
            </w:r>
          </w:p>
        </w:tc>
        <w:tc>
          <w:tcPr>
            <w:tcW w:w="810" w:type="dxa"/>
          </w:tcPr>
          <w:p w14:paraId="51CFDEEE" w14:textId="77777777" w:rsidR="007E1B0B" w:rsidRPr="000D3717" w:rsidRDefault="007E1B0B" w:rsidP="00853321">
            <w:pPr>
              <w:rPr>
                <w:rFonts w:ascii="Times New Roman" w:hAnsi="Times New Roman" w:cs="Times New Roman"/>
                <w:sz w:val="24"/>
                <w:szCs w:val="24"/>
              </w:rPr>
            </w:pPr>
          </w:p>
        </w:tc>
        <w:tc>
          <w:tcPr>
            <w:tcW w:w="810" w:type="dxa"/>
          </w:tcPr>
          <w:p w14:paraId="2EA8382A" w14:textId="39FDF6EB"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067F65B9"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606E221A" w14:textId="77777777" w:rsidR="007E1B0B" w:rsidRPr="000D3717" w:rsidRDefault="007E1B0B" w:rsidP="00853321">
            <w:pPr>
              <w:rPr>
                <w:rFonts w:ascii="Times New Roman" w:hAnsi="Times New Roman" w:cs="Times New Roman"/>
                <w:sz w:val="24"/>
                <w:szCs w:val="24"/>
              </w:rPr>
            </w:pPr>
          </w:p>
        </w:tc>
        <w:tc>
          <w:tcPr>
            <w:tcW w:w="2496" w:type="dxa"/>
          </w:tcPr>
          <w:p w14:paraId="7C1F2C9D" w14:textId="77777777" w:rsidR="007E1B0B" w:rsidRPr="000D3717" w:rsidRDefault="007E1B0B" w:rsidP="00853321">
            <w:pPr>
              <w:rPr>
                <w:rFonts w:ascii="Times New Roman" w:hAnsi="Times New Roman" w:cs="Times New Roman"/>
                <w:sz w:val="24"/>
                <w:szCs w:val="24"/>
              </w:rPr>
            </w:pPr>
          </w:p>
        </w:tc>
      </w:tr>
      <w:tr w:rsidR="007E1B0B" w:rsidRPr="000D3717" w14:paraId="31B817FA" w14:textId="77777777" w:rsidTr="00D0483F">
        <w:trPr>
          <w:gridAfter w:val="1"/>
          <w:wAfter w:w="114" w:type="dxa"/>
        </w:trPr>
        <w:tc>
          <w:tcPr>
            <w:tcW w:w="1710" w:type="dxa"/>
            <w:vMerge/>
          </w:tcPr>
          <w:p w14:paraId="2D5803FC" w14:textId="77777777" w:rsidR="007E1B0B" w:rsidRPr="000D3717" w:rsidRDefault="007E1B0B" w:rsidP="00853321">
            <w:pPr>
              <w:rPr>
                <w:rFonts w:ascii="Times New Roman" w:hAnsi="Times New Roman" w:cs="Times New Roman"/>
                <w:sz w:val="24"/>
                <w:szCs w:val="24"/>
              </w:rPr>
            </w:pPr>
          </w:p>
        </w:tc>
        <w:tc>
          <w:tcPr>
            <w:tcW w:w="4050" w:type="dxa"/>
          </w:tcPr>
          <w:p w14:paraId="249D9657"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pritet të ndryshojnë flukset aktuale të eksportit?</w:t>
            </w:r>
          </w:p>
        </w:tc>
        <w:tc>
          <w:tcPr>
            <w:tcW w:w="810" w:type="dxa"/>
          </w:tcPr>
          <w:p w14:paraId="4C9D5F7F"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X</w:t>
            </w:r>
          </w:p>
        </w:tc>
        <w:tc>
          <w:tcPr>
            <w:tcW w:w="810" w:type="dxa"/>
          </w:tcPr>
          <w:p w14:paraId="4C656773" w14:textId="5EF67A73"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693E7839"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1C970D8F" w14:textId="4053C9E9"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2496" w:type="dxa"/>
          </w:tcPr>
          <w:p w14:paraId="69EFDB2C" w14:textId="77777777" w:rsidR="007E1B0B"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 xml:space="preserve">Rrija e pozitës dominuese në nivel të shtetit mund të ndikoj në rritje të </w:t>
            </w:r>
            <w:proofErr w:type="spellStart"/>
            <w:r>
              <w:rPr>
                <w:rFonts w:ascii="Times New Roman" w:hAnsi="Times New Roman" w:cs="Times New Roman"/>
                <w:sz w:val="24"/>
                <w:szCs w:val="24"/>
              </w:rPr>
              <w:t>konkurrueshmërisë</w:t>
            </w:r>
            <w:proofErr w:type="spellEnd"/>
            <w:r>
              <w:rPr>
                <w:rFonts w:ascii="Times New Roman" w:hAnsi="Times New Roman" w:cs="Times New Roman"/>
                <w:sz w:val="24"/>
                <w:szCs w:val="24"/>
              </w:rPr>
              <w:t xml:space="preserve"> në nivel rajonal dhe si rrjedhim qasje në tregje të jashtë që ndikon në rritjen e eksporteve. </w:t>
            </w:r>
          </w:p>
        </w:tc>
      </w:tr>
      <w:tr w:rsidR="007E1B0B" w:rsidRPr="000D3717" w14:paraId="42BE3677" w14:textId="77777777" w:rsidTr="00D0483F">
        <w:trPr>
          <w:gridAfter w:val="1"/>
          <w:wAfter w:w="114" w:type="dxa"/>
        </w:trPr>
        <w:tc>
          <w:tcPr>
            <w:tcW w:w="1710" w:type="dxa"/>
            <w:vMerge w:val="restart"/>
          </w:tcPr>
          <w:p w14:paraId="7E7CA85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Transporti</w:t>
            </w:r>
          </w:p>
        </w:tc>
        <w:tc>
          <w:tcPr>
            <w:tcW w:w="4050" w:type="dxa"/>
          </w:tcPr>
          <w:p w14:paraId="0F53C9C3"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ketë efekt në mënyrën e transportit të pasagjerëve dhe/ose mallrave? </w:t>
            </w:r>
          </w:p>
        </w:tc>
        <w:tc>
          <w:tcPr>
            <w:tcW w:w="810" w:type="dxa"/>
          </w:tcPr>
          <w:p w14:paraId="1C6FE687" w14:textId="77777777" w:rsidR="007E1B0B" w:rsidRPr="000D3717" w:rsidRDefault="007E1B0B" w:rsidP="00853321">
            <w:pPr>
              <w:rPr>
                <w:rFonts w:ascii="Times New Roman" w:hAnsi="Times New Roman" w:cs="Times New Roman"/>
                <w:sz w:val="24"/>
                <w:szCs w:val="24"/>
              </w:rPr>
            </w:pPr>
          </w:p>
        </w:tc>
        <w:tc>
          <w:tcPr>
            <w:tcW w:w="810" w:type="dxa"/>
          </w:tcPr>
          <w:p w14:paraId="0BEB94B9" w14:textId="79F8C7DE"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67B54237" w14:textId="77777777" w:rsidR="007E1B0B" w:rsidRPr="000D3717" w:rsidRDefault="007E1B0B" w:rsidP="00853321">
            <w:pPr>
              <w:rPr>
                <w:rFonts w:ascii="Times New Roman" w:hAnsi="Times New Roman" w:cs="Times New Roman"/>
                <w:sz w:val="24"/>
                <w:szCs w:val="24"/>
              </w:rPr>
            </w:pPr>
          </w:p>
        </w:tc>
        <w:tc>
          <w:tcPr>
            <w:tcW w:w="1620" w:type="dxa"/>
          </w:tcPr>
          <w:p w14:paraId="2FBA1CFC" w14:textId="77777777" w:rsidR="007E1B0B" w:rsidRPr="000D3717" w:rsidRDefault="007E1B0B" w:rsidP="00853321">
            <w:pPr>
              <w:rPr>
                <w:rFonts w:ascii="Times New Roman" w:hAnsi="Times New Roman" w:cs="Times New Roman"/>
                <w:sz w:val="24"/>
                <w:szCs w:val="24"/>
              </w:rPr>
            </w:pPr>
          </w:p>
        </w:tc>
        <w:tc>
          <w:tcPr>
            <w:tcW w:w="2496" w:type="dxa"/>
          </w:tcPr>
          <w:p w14:paraId="11F6C3B2" w14:textId="77777777" w:rsidR="007E1B0B" w:rsidRPr="000D3717" w:rsidRDefault="007E1B0B" w:rsidP="00853321">
            <w:pPr>
              <w:rPr>
                <w:rFonts w:ascii="Times New Roman" w:hAnsi="Times New Roman" w:cs="Times New Roman"/>
                <w:sz w:val="24"/>
                <w:szCs w:val="24"/>
              </w:rPr>
            </w:pPr>
          </w:p>
        </w:tc>
      </w:tr>
      <w:tr w:rsidR="007E1B0B" w:rsidRPr="000D3717" w14:paraId="1271BDE3" w14:textId="77777777" w:rsidTr="00D0483F">
        <w:trPr>
          <w:gridAfter w:val="1"/>
          <w:wAfter w:w="114" w:type="dxa"/>
        </w:trPr>
        <w:tc>
          <w:tcPr>
            <w:tcW w:w="1710" w:type="dxa"/>
            <w:vMerge/>
          </w:tcPr>
          <w:p w14:paraId="163C52EB" w14:textId="77777777" w:rsidR="007E1B0B" w:rsidRPr="000D3717" w:rsidRDefault="007E1B0B" w:rsidP="00853321">
            <w:pPr>
              <w:rPr>
                <w:rFonts w:ascii="Times New Roman" w:hAnsi="Times New Roman" w:cs="Times New Roman"/>
                <w:sz w:val="24"/>
                <w:szCs w:val="24"/>
              </w:rPr>
            </w:pPr>
          </w:p>
        </w:tc>
        <w:tc>
          <w:tcPr>
            <w:tcW w:w="4050" w:type="dxa"/>
          </w:tcPr>
          <w:p w14:paraId="2345B320"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do të ketë ndonjë ndryshim në kohën e nevojshme për të transportuar pasagjerë dhe/ose mallra?</w:t>
            </w:r>
          </w:p>
        </w:tc>
        <w:tc>
          <w:tcPr>
            <w:tcW w:w="810" w:type="dxa"/>
          </w:tcPr>
          <w:p w14:paraId="43F59D7A" w14:textId="77777777" w:rsidR="007E1B0B" w:rsidRPr="000D3717" w:rsidRDefault="007E1B0B" w:rsidP="00853321">
            <w:pPr>
              <w:rPr>
                <w:rFonts w:ascii="Times New Roman" w:hAnsi="Times New Roman" w:cs="Times New Roman"/>
                <w:sz w:val="24"/>
                <w:szCs w:val="24"/>
              </w:rPr>
            </w:pPr>
          </w:p>
        </w:tc>
        <w:tc>
          <w:tcPr>
            <w:tcW w:w="810" w:type="dxa"/>
          </w:tcPr>
          <w:p w14:paraId="40A73CC5" w14:textId="42420548"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6AD3172C" w14:textId="77777777" w:rsidR="007E1B0B" w:rsidRPr="000D3717" w:rsidRDefault="007E1B0B" w:rsidP="00853321">
            <w:pPr>
              <w:rPr>
                <w:rFonts w:ascii="Times New Roman" w:hAnsi="Times New Roman" w:cs="Times New Roman"/>
                <w:sz w:val="24"/>
                <w:szCs w:val="24"/>
              </w:rPr>
            </w:pPr>
          </w:p>
        </w:tc>
        <w:tc>
          <w:tcPr>
            <w:tcW w:w="1620" w:type="dxa"/>
          </w:tcPr>
          <w:p w14:paraId="3F2CE95F" w14:textId="77777777" w:rsidR="007E1B0B" w:rsidRPr="000D3717" w:rsidRDefault="007E1B0B" w:rsidP="00853321">
            <w:pPr>
              <w:rPr>
                <w:rFonts w:ascii="Times New Roman" w:hAnsi="Times New Roman" w:cs="Times New Roman"/>
                <w:sz w:val="24"/>
                <w:szCs w:val="24"/>
              </w:rPr>
            </w:pPr>
          </w:p>
        </w:tc>
        <w:tc>
          <w:tcPr>
            <w:tcW w:w="2496" w:type="dxa"/>
          </w:tcPr>
          <w:p w14:paraId="3901BB0D" w14:textId="77777777" w:rsidR="007E1B0B" w:rsidRPr="000D3717" w:rsidRDefault="007E1B0B" w:rsidP="00853321">
            <w:pPr>
              <w:rPr>
                <w:rFonts w:ascii="Times New Roman" w:hAnsi="Times New Roman" w:cs="Times New Roman"/>
                <w:sz w:val="24"/>
                <w:szCs w:val="24"/>
              </w:rPr>
            </w:pPr>
          </w:p>
        </w:tc>
      </w:tr>
      <w:tr w:rsidR="007E1B0B" w:rsidRPr="000D3717" w14:paraId="0469779D" w14:textId="77777777" w:rsidTr="00D0483F">
        <w:trPr>
          <w:gridAfter w:val="1"/>
          <w:wAfter w:w="114" w:type="dxa"/>
        </w:trPr>
        <w:tc>
          <w:tcPr>
            <w:tcW w:w="1710" w:type="dxa"/>
            <w:vMerge w:val="restart"/>
          </w:tcPr>
          <w:p w14:paraId="308E70FA"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Investimet</w:t>
            </w:r>
          </w:p>
        </w:tc>
        <w:tc>
          <w:tcPr>
            <w:tcW w:w="4050" w:type="dxa"/>
          </w:tcPr>
          <w:p w14:paraId="6390F38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pritet që kompanitë të investojnë në veprimtari të reja?</w:t>
            </w:r>
          </w:p>
        </w:tc>
        <w:tc>
          <w:tcPr>
            <w:tcW w:w="810" w:type="dxa"/>
          </w:tcPr>
          <w:p w14:paraId="4ADC1BB3" w14:textId="77777777" w:rsidR="007E1B0B" w:rsidRPr="000D3717" w:rsidRDefault="007E1B0B" w:rsidP="00853321">
            <w:pPr>
              <w:rPr>
                <w:rFonts w:ascii="Times New Roman" w:hAnsi="Times New Roman" w:cs="Times New Roman"/>
                <w:sz w:val="24"/>
                <w:szCs w:val="24"/>
              </w:rPr>
            </w:pPr>
          </w:p>
        </w:tc>
        <w:tc>
          <w:tcPr>
            <w:tcW w:w="810" w:type="dxa"/>
          </w:tcPr>
          <w:p w14:paraId="791F73B2" w14:textId="76032F77" w:rsidR="007E1B0B" w:rsidRPr="000D3717" w:rsidRDefault="007E1B0B" w:rsidP="00853321">
            <w:pPr>
              <w:rPr>
                <w:rFonts w:ascii="Times New Roman" w:hAnsi="Times New Roman" w:cs="Times New Roman"/>
                <w:sz w:val="24"/>
                <w:szCs w:val="24"/>
              </w:rPr>
            </w:pPr>
            <w:r w:rsidRPr="00A52F44">
              <w:rPr>
                <w:rFonts w:ascii="Times New Roman" w:hAnsi="Times New Roman" w:cs="Times New Roman"/>
                <w:sz w:val="24"/>
                <w:szCs w:val="24"/>
              </w:rPr>
              <w:t>x</w:t>
            </w:r>
          </w:p>
        </w:tc>
        <w:tc>
          <w:tcPr>
            <w:tcW w:w="2430" w:type="dxa"/>
          </w:tcPr>
          <w:p w14:paraId="46A6736B"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7AA69E2B" w14:textId="77777777" w:rsidR="007E1B0B" w:rsidRPr="000D3717" w:rsidRDefault="007E1B0B" w:rsidP="00853321">
            <w:pPr>
              <w:rPr>
                <w:rFonts w:ascii="Times New Roman" w:hAnsi="Times New Roman" w:cs="Times New Roman"/>
                <w:sz w:val="24"/>
                <w:szCs w:val="24"/>
              </w:rPr>
            </w:pPr>
          </w:p>
        </w:tc>
        <w:tc>
          <w:tcPr>
            <w:tcW w:w="2496" w:type="dxa"/>
          </w:tcPr>
          <w:p w14:paraId="650ED0B4" w14:textId="77777777" w:rsidR="007E1B0B" w:rsidRPr="000D3717" w:rsidRDefault="007E1B0B" w:rsidP="00853321">
            <w:pPr>
              <w:rPr>
                <w:rFonts w:ascii="Times New Roman" w:hAnsi="Times New Roman" w:cs="Times New Roman"/>
                <w:sz w:val="24"/>
                <w:szCs w:val="24"/>
              </w:rPr>
            </w:pPr>
          </w:p>
        </w:tc>
      </w:tr>
      <w:tr w:rsidR="00494035" w:rsidRPr="000D3717" w14:paraId="27431D8A" w14:textId="77777777" w:rsidTr="00D0483F">
        <w:trPr>
          <w:gridAfter w:val="1"/>
          <w:wAfter w:w="114" w:type="dxa"/>
        </w:trPr>
        <w:tc>
          <w:tcPr>
            <w:tcW w:w="1710" w:type="dxa"/>
            <w:vMerge/>
          </w:tcPr>
          <w:p w14:paraId="5D1E7CED" w14:textId="77777777" w:rsidR="00494035" w:rsidRPr="000D3717" w:rsidRDefault="00494035" w:rsidP="00853321">
            <w:pPr>
              <w:rPr>
                <w:rFonts w:ascii="Times New Roman" w:hAnsi="Times New Roman" w:cs="Times New Roman"/>
                <w:sz w:val="24"/>
                <w:szCs w:val="24"/>
              </w:rPr>
            </w:pPr>
          </w:p>
        </w:tc>
        <w:tc>
          <w:tcPr>
            <w:tcW w:w="4050" w:type="dxa"/>
          </w:tcPr>
          <w:p w14:paraId="75AB8775"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A pritet që kompanitë t'i anulojnë ose shtyjnë për më vonë investimet?</w:t>
            </w:r>
          </w:p>
        </w:tc>
        <w:tc>
          <w:tcPr>
            <w:tcW w:w="810" w:type="dxa"/>
          </w:tcPr>
          <w:p w14:paraId="50787AE7" w14:textId="77777777" w:rsidR="00494035" w:rsidRPr="000D3717" w:rsidRDefault="00494035" w:rsidP="00853321">
            <w:pPr>
              <w:rPr>
                <w:rFonts w:ascii="Times New Roman" w:hAnsi="Times New Roman" w:cs="Times New Roman"/>
                <w:sz w:val="24"/>
                <w:szCs w:val="24"/>
              </w:rPr>
            </w:pPr>
          </w:p>
        </w:tc>
        <w:tc>
          <w:tcPr>
            <w:tcW w:w="810" w:type="dxa"/>
          </w:tcPr>
          <w:p w14:paraId="390FE33C" w14:textId="77777777" w:rsidR="00494035" w:rsidRPr="000D3717" w:rsidRDefault="00494035" w:rsidP="00853321">
            <w:pPr>
              <w:rPr>
                <w:rFonts w:ascii="Times New Roman" w:hAnsi="Times New Roman" w:cs="Times New Roman"/>
                <w:sz w:val="24"/>
                <w:szCs w:val="24"/>
              </w:rPr>
            </w:pPr>
          </w:p>
        </w:tc>
        <w:tc>
          <w:tcPr>
            <w:tcW w:w="2430" w:type="dxa"/>
          </w:tcPr>
          <w:p w14:paraId="318D3D2E" w14:textId="77777777" w:rsidR="00494035" w:rsidRPr="000D3717" w:rsidRDefault="00494035" w:rsidP="00853321">
            <w:pPr>
              <w:rPr>
                <w:rFonts w:ascii="Times New Roman" w:hAnsi="Times New Roman" w:cs="Times New Roman"/>
                <w:sz w:val="24"/>
                <w:szCs w:val="24"/>
              </w:rPr>
            </w:pPr>
          </w:p>
        </w:tc>
        <w:tc>
          <w:tcPr>
            <w:tcW w:w="1620" w:type="dxa"/>
          </w:tcPr>
          <w:p w14:paraId="1270D306" w14:textId="77777777" w:rsidR="00494035" w:rsidRPr="000D3717" w:rsidRDefault="00494035" w:rsidP="00853321">
            <w:pPr>
              <w:rPr>
                <w:rFonts w:ascii="Times New Roman" w:hAnsi="Times New Roman" w:cs="Times New Roman"/>
                <w:sz w:val="24"/>
                <w:szCs w:val="24"/>
              </w:rPr>
            </w:pPr>
          </w:p>
        </w:tc>
        <w:tc>
          <w:tcPr>
            <w:tcW w:w="2496" w:type="dxa"/>
          </w:tcPr>
          <w:p w14:paraId="0D5C4155" w14:textId="77777777" w:rsidR="00494035" w:rsidRPr="000D3717" w:rsidRDefault="00494035" w:rsidP="00853321">
            <w:pPr>
              <w:rPr>
                <w:rFonts w:ascii="Times New Roman" w:hAnsi="Times New Roman" w:cs="Times New Roman"/>
                <w:sz w:val="24"/>
                <w:szCs w:val="24"/>
              </w:rPr>
            </w:pPr>
          </w:p>
        </w:tc>
      </w:tr>
      <w:tr w:rsidR="00494035" w:rsidRPr="000D3717" w14:paraId="6A7FD6FC" w14:textId="77777777" w:rsidTr="00D0483F">
        <w:trPr>
          <w:gridAfter w:val="1"/>
          <w:wAfter w:w="114" w:type="dxa"/>
        </w:trPr>
        <w:tc>
          <w:tcPr>
            <w:tcW w:w="1710" w:type="dxa"/>
            <w:vMerge/>
          </w:tcPr>
          <w:p w14:paraId="54D111CC" w14:textId="77777777" w:rsidR="00494035" w:rsidRPr="000D3717" w:rsidRDefault="00494035" w:rsidP="00853321">
            <w:pPr>
              <w:rPr>
                <w:rFonts w:ascii="Times New Roman" w:hAnsi="Times New Roman" w:cs="Times New Roman"/>
                <w:sz w:val="24"/>
                <w:szCs w:val="24"/>
              </w:rPr>
            </w:pPr>
          </w:p>
        </w:tc>
        <w:tc>
          <w:tcPr>
            <w:tcW w:w="4050" w:type="dxa"/>
          </w:tcPr>
          <w:p w14:paraId="73A490B4"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rriten investimet nga diaspora? </w:t>
            </w:r>
          </w:p>
        </w:tc>
        <w:tc>
          <w:tcPr>
            <w:tcW w:w="810" w:type="dxa"/>
          </w:tcPr>
          <w:p w14:paraId="0B50422E" w14:textId="77777777" w:rsidR="00494035" w:rsidRPr="000D3717" w:rsidRDefault="00494035" w:rsidP="00853321">
            <w:pPr>
              <w:rPr>
                <w:rFonts w:ascii="Times New Roman" w:hAnsi="Times New Roman" w:cs="Times New Roman"/>
                <w:sz w:val="24"/>
                <w:szCs w:val="24"/>
              </w:rPr>
            </w:pPr>
          </w:p>
        </w:tc>
        <w:tc>
          <w:tcPr>
            <w:tcW w:w="810" w:type="dxa"/>
          </w:tcPr>
          <w:p w14:paraId="21078AB2" w14:textId="77777777" w:rsidR="00494035" w:rsidRPr="000D3717" w:rsidRDefault="00494035" w:rsidP="00853321">
            <w:pPr>
              <w:rPr>
                <w:rFonts w:ascii="Times New Roman" w:hAnsi="Times New Roman" w:cs="Times New Roman"/>
                <w:sz w:val="24"/>
                <w:szCs w:val="24"/>
              </w:rPr>
            </w:pPr>
          </w:p>
        </w:tc>
        <w:tc>
          <w:tcPr>
            <w:tcW w:w="2430" w:type="dxa"/>
          </w:tcPr>
          <w:p w14:paraId="39609A0B" w14:textId="77777777" w:rsidR="00494035" w:rsidRPr="000D3717" w:rsidRDefault="00494035" w:rsidP="00853321">
            <w:pPr>
              <w:rPr>
                <w:rFonts w:ascii="Times New Roman" w:hAnsi="Times New Roman" w:cs="Times New Roman"/>
                <w:sz w:val="24"/>
                <w:szCs w:val="24"/>
              </w:rPr>
            </w:pPr>
          </w:p>
        </w:tc>
        <w:tc>
          <w:tcPr>
            <w:tcW w:w="1620" w:type="dxa"/>
          </w:tcPr>
          <w:p w14:paraId="4A02677F" w14:textId="77777777" w:rsidR="00494035" w:rsidRPr="000D3717" w:rsidRDefault="00494035" w:rsidP="00853321">
            <w:pPr>
              <w:rPr>
                <w:rFonts w:ascii="Times New Roman" w:hAnsi="Times New Roman" w:cs="Times New Roman"/>
                <w:sz w:val="24"/>
                <w:szCs w:val="24"/>
              </w:rPr>
            </w:pPr>
          </w:p>
        </w:tc>
        <w:tc>
          <w:tcPr>
            <w:tcW w:w="2496" w:type="dxa"/>
          </w:tcPr>
          <w:p w14:paraId="59494243" w14:textId="77777777" w:rsidR="00494035" w:rsidRPr="000D3717" w:rsidRDefault="00494035" w:rsidP="00853321">
            <w:pPr>
              <w:rPr>
                <w:rFonts w:ascii="Times New Roman" w:hAnsi="Times New Roman" w:cs="Times New Roman"/>
                <w:sz w:val="24"/>
                <w:szCs w:val="24"/>
              </w:rPr>
            </w:pPr>
          </w:p>
        </w:tc>
      </w:tr>
      <w:tr w:rsidR="00494035" w:rsidRPr="000D3717" w14:paraId="791422C2" w14:textId="77777777" w:rsidTr="00D0483F">
        <w:trPr>
          <w:gridAfter w:val="1"/>
          <w:wAfter w:w="114" w:type="dxa"/>
        </w:trPr>
        <w:tc>
          <w:tcPr>
            <w:tcW w:w="1710" w:type="dxa"/>
            <w:vMerge/>
          </w:tcPr>
          <w:p w14:paraId="456768CC" w14:textId="77777777" w:rsidR="00494035" w:rsidRPr="000D3717" w:rsidRDefault="00494035" w:rsidP="00853321">
            <w:pPr>
              <w:rPr>
                <w:rFonts w:ascii="Times New Roman" w:hAnsi="Times New Roman" w:cs="Times New Roman"/>
                <w:sz w:val="24"/>
                <w:szCs w:val="24"/>
              </w:rPr>
            </w:pPr>
          </w:p>
        </w:tc>
        <w:tc>
          <w:tcPr>
            <w:tcW w:w="4050" w:type="dxa"/>
          </w:tcPr>
          <w:p w14:paraId="2B2C3F7D"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zvogëlohen investimet nga </w:t>
            </w:r>
            <w:r w:rsidRPr="000D3717">
              <w:rPr>
                <w:rFonts w:ascii="Times New Roman" w:hAnsi="Times New Roman" w:cs="Times New Roman"/>
                <w:sz w:val="24"/>
                <w:szCs w:val="24"/>
              </w:rPr>
              <w:lastRenderedPageBreak/>
              <w:t>diaspora?</w:t>
            </w:r>
          </w:p>
        </w:tc>
        <w:tc>
          <w:tcPr>
            <w:tcW w:w="810" w:type="dxa"/>
          </w:tcPr>
          <w:p w14:paraId="5B8C6F08" w14:textId="77777777" w:rsidR="00494035" w:rsidRPr="000D3717" w:rsidRDefault="00494035" w:rsidP="00853321">
            <w:pPr>
              <w:rPr>
                <w:rFonts w:ascii="Times New Roman" w:hAnsi="Times New Roman" w:cs="Times New Roman"/>
                <w:sz w:val="24"/>
                <w:szCs w:val="24"/>
              </w:rPr>
            </w:pPr>
          </w:p>
        </w:tc>
        <w:tc>
          <w:tcPr>
            <w:tcW w:w="810" w:type="dxa"/>
          </w:tcPr>
          <w:p w14:paraId="358C70D4" w14:textId="77777777" w:rsidR="00494035" w:rsidRPr="000D3717" w:rsidRDefault="00494035" w:rsidP="00853321">
            <w:pPr>
              <w:rPr>
                <w:rFonts w:ascii="Times New Roman" w:hAnsi="Times New Roman" w:cs="Times New Roman"/>
                <w:sz w:val="24"/>
                <w:szCs w:val="24"/>
              </w:rPr>
            </w:pPr>
          </w:p>
        </w:tc>
        <w:tc>
          <w:tcPr>
            <w:tcW w:w="2430" w:type="dxa"/>
          </w:tcPr>
          <w:p w14:paraId="67D15692" w14:textId="77777777" w:rsidR="00494035" w:rsidRPr="000D3717" w:rsidRDefault="00494035" w:rsidP="00853321">
            <w:pPr>
              <w:rPr>
                <w:rFonts w:ascii="Times New Roman" w:hAnsi="Times New Roman" w:cs="Times New Roman"/>
                <w:sz w:val="24"/>
                <w:szCs w:val="24"/>
              </w:rPr>
            </w:pPr>
          </w:p>
        </w:tc>
        <w:tc>
          <w:tcPr>
            <w:tcW w:w="1620" w:type="dxa"/>
          </w:tcPr>
          <w:p w14:paraId="64F30BE8" w14:textId="77777777" w:rsidR="00494035" w:rsidRPr="000D3717" w:rsidRDefault="00494035" w:rsidP="00853321">
            <w:pPr>
              <w:rPr>
                <w:rFonts w:ascii="Times New Roman" w:hAnsi="Times New Roman" w:cs="Times New Roman"/>
                <w:sz w:val="24"/>
                <w:szCs w:val="24"/>
              </w:rPr>
            </w:pPr>
          </w:p>
        </w:tc>
        <w:tc>
          <w:tcPr>
            <w:tcW w:w="2496" w:type="dxa"/>
          </w:tcPr>
          <w:p w14:paraId="5B1CC08F" w14:textId="77777777" w:rsidR="00494035" w:rsidRPr="000D3717" w:rsidRDefault="00494035" w:rsidP="00853321">
            <w:pPr>
              <w:rPr>
                <w:rFonts w:ascii="Times New Roman" w:hAnsi="Times New Roman" w:cs="Times New Roman"/>
                <w:sz w:val="24"/>
                <w:szCs w:val="24"/>
              </w:rPr>
            </w:pPr>
          </w:p>
        </w:tc>
      </w:tr>
      <w:tr w:rsidR="00494035" w:rsidRPr="000D3717" w14:paraId="5E3CC224" w14:textId="77777777" w:rsidTr="00D0483F">
        <w:trPr>
          <w:gridAfter w:val="1"/>
          <w:wAfter w:w="114" w:type="dxa"/>
        </w:trPr>
        <w:tc>
          <w:tcPr>
            <w:tcW w:w="1710" w:type="dxa"/>
            <w:vMerge/>
          </w:tcPr>
          <w:p w14:paraId="14867380" w14:textId="77777777" w:rsidR="00494035" w:rsidRPr="000D3717" w:rsidRDefault="00494035" w:rsidP="00853321">
            <w:pPr>
              <w:rPr>
                <w:rFonts w:ascii="Times New Roman" w:hAnsi="Times New Roman" w:cs="Times New Roman"/>
                <w:sz w:val="24"/>
                <w:szCs w:val="24"/>
              </w:rPr>
            </w:pPr>
          </w:p>
        </w:tc>
        <w:tc>
          <w:tcPr>
            <w:tcW w:w="4050" w:type="dxa"/>
          </w:tcPr>
          <w:p w14:paraId="0509B545"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rriten investimet e huaja </w:t>
            </w:r>
            <w:proofErr w:type="spellStart"/>
            <w:r w:rsidRPr="000D3717">
              <w:rPr>
                <w:rFonts w:ascii="Times New Roman" w:hAnsi="Times New Roman" w:cs="Times New Roman"/>
                <w:sz w:val="24"/>
                <w:szCs w:val="24"/>
              </w:rPr>
              <w:t>direkte</w:t>
            </w:r>
            <w:proofErr w:type="spellEnd"/>
            <w:r w:rsidRPr="000D3717">
              <w:rPr>
                <w:rFonts w:ascii="Times New Roman" w:hAnsi="Times New Roman" w:cs="Times New Roman"/>
                <w:sz w:val="24"/>
                <w:szCs w:val="24"/>
              </w:rPr>
              <w:t>?</w:t>
            </w:r>
          </w:p>
        </w:tc>
        <w:tc>
          <w:tcPr>
            <w:tcW w:w="810" w:type="dxa"/>
          </w:tcPr>
          <w:p w14:paraId="607BBB48" w14:textId="566E3150"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05CCA13C" w14:textId="77777777" w:rsidR="00494035" w:rsidRPr="000D3717" w:rsidRDefault="00494035" w:rsidP="00853321">
            <w:pPr>
              <w:rPr>
                <w:rFonts w:ascii="Times New Roman" w:hAnsi="Times New Roman" w:cs="Times New Roman"/>
                <w:sz w:val="24"/>
                <w:szCs w:val="24"/>
              </w:rPr>
            </w:pPr>
          </w:p>
        </w:tc>
        <w:tc>
          <w:tcPr>
            <w:tcW w:w="2430" w:type="dxa"/>
          </w:tcPr>
          <w:p w14:paraId="165239BD"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6B7DD150"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I ulët</w:t>
            </w:r>
          </w:p>
        </w:tc>
        <w:tc>
          <w:tcPr>
            <w:tcW w:w="2496" w:type="dxa"/>
          </w:tcPr>
          <w:p w14:paraId="54D3D91B"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 xml:space="preserve">Ndikimi është i tërthortë, prandaj edhe nuk nevojitet analizë të hollësishme. </w:t>
            </w:r>
          </w:p>
        </w:tc>
      </w:tr>
      <w:tr w:rsidR="007E1B0B" w:rsidRPr="000D3717" w14:paraId="71BADA79" w14:textId="77777777" w:rsidTr="00D0483F">
        <w:trPr>
          <w:gridAfter w:val="1"/>
          <w:wAfter w:w="114" w:type="dxa"/>
        </w:trPr>
        <w:tc>
          <w:tcPr>
            <w:tcW w:w="1710" w:type="dxa"/>
            <w:vMerge/>
          </w:tcPr>
          <w:p w14:paraId="5BF0B70B" w14:textId="77777777" w:rsidR="007E1B0B" w:rsidRPr="000D3717" w:rsidRDefault="007E1B0B" w:rsidP="00853321">
            <w:pPr>
              <w:rPr>
                <w:rFonts w:ascii="Times New Roman" w:hAnsi="Times New Roman" w:cs="Times New Roman"/>
                <w:sz w:val="24"/>
                <w:szCs w:val="24"/>
              </w:rPr>
            </w:pPr>
          </w:p>
        </w:tc>
        <w:tc>
          <w:tcPr>
            <w:tcW w:w="4050" w:type="dxa"/>
          </w:tcPr>
          <w:p w14:paraId="3CAB0447"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zvogëlohen investimet e huaja </w:t>
            </w:r>
            <w:proofErr w:type="spellStart"/>
            <w:r w:rsidRPr="000D3717">
              <w:rPr>
                <w:rFonts w:ascii="Times New Roman" w:hAnsi="Times New Roman" w:cs="Times New Roman"/>
                <w:sz w:val="24"/>
                <w:szCs w:val="24"/>
              </w:rPr>
              <w:t>direkte</w:t>
            </w:r>
            <w:proofErr w:type="spellEnd"/>
            <w:r w:rsidRPr="000D3717">
              <w:rPr>
                <w:rFonts w:ascii="Times New Roman" w:hAnsi="Times New Roman" w:cs="Times New Roman"/>
                <w:sz w:val="24"/>
                <w:szCs w:val="24"/>
              </w:rPr>
              <w:t>?</w:t>
            </w:r>
          </w:p>
        </w:tc>
        <w:tc>
          <w:tcPr>
            <w:tcW w:w="810" w:type="dxa"/>
          </w:tcPr>
          <w:p w14:paraId="07CFE51F" w14:textId="77777777" w:rsidR="007E1B0B" w:rsidRPr="000D3717" w:rsidRDefault="007E1B0B" w:rsidP="00853321">
            <w:pPr>
              <w:rPr>
                <w:rFonts w:ascii="Times New Roman" w:hAnsi="Times New Roman" w:cs="Times New Roman"/>
                <w:sz w:val="24"/>
                <w:szCs w:val="24"/>
              </w:rPr>
            </w:pPr>
          </w:p>
        </w:tc>
        <w:tc>
          <w:tcPr>
            <w:tcW w:w="810" w:type="dxa"/>
          </w:tcPr>
          <w:p w14:paraId="4D959B1F" w14:textId="5E9BD504" w:rsidR="007E1B0B" w:rsidRPr="000D3717" w:rsidRDefault="007E1B0B" w:rsidP="00853321">
            <w:pPr>
              <w:rPr>
                <w:rFonts w:ascii="Times New Roman" w:hAnsi="Times New Roman" w:cs="Times New Roman"/>
                <w:sz w:val="24"/>
                <w:szCs w:val="24"/>
              </w:rPr>
            </w:pPr>
            <w:r w:rsidRPr="00E577AB">
              <w:rPr>
                <w:rFonts w:ascii="Times New Roman" w:hAnsi="Times New Roman" w:cs="Times New Roman"/>
                <w:sz w:val="24"/>
                <w:szCs w:val="24"/>
              </w:rPr>
              <w:t>x</w:t>
            </w:r>
          </w:p>
        </w:tc>
        <w:tc>
          <w:tcPr>
            <w:tcW w:w="2430" w:type="dxa"/>
          </w:tcPr>
          <w:p w14:paraId="7F6CCB53" w14:textId="77777777" w:rsidR="007E1B0B" w:rsidRPr="000D3717" w:rsidRDefault="007E1B0B" w:rsidP="00853321">
            <w:pPr>
              <w:rPr>
                <w:rFonts w:ascii="Times New Roman" w:hAnsi="Times New Roman" w:cs="Times New Roman"/>
                <w:sz w:val="24"/>
                <w:szCs w:val="24"/>
              </w:rPr>
            </w:pPr>
          </w:p>
        </w:tc>
        <w:tc>
          <w:tcPr>
            <w:tcW w:w="1620" w:type="dxa"/>
          </w:tcPr>
          <w:p w14:paraId="0BC131E8" w14:textId="77777777" w:rsidR="007E1B0B" w:rsidRPr="000D3717" w:rsidRDefault="007E1B0B" w:rsidP="00853321">
            <w:pPr>
              <w:rPr>
                <w:rFonts w:ascii="Times New Roman" w:hAnsi="Times New Roman" w:cs="Times New Roman"/>
                <w:sz w:val="24"/>
                <w:szCs w:val="24"/>
              </w:rPr>
            </w:pPr>
          </w:p>
        </w:tc>
        <w:tc>
          <w:tcPr>
            <w:tcW w:w="2496" w:type="dxa"/>
          </w:tcPr>
          <w:p w14:paraId="0DA44369" w14:textId="77777777" w:rsidR="007E1B0B" w:rsidRPr="000D3717" w:rsidRDefault="007E1B0B" w:rsidP="00853321">
            <w:pPr>
              <w:rPr>
                <w:rFonts w:ascii="Times New Roman" w:hAnsi="Times New Roman" w:cs="Times New Roman"/>
                <w:sz w:val="24"/>
                <w:szCs w:val="24"/>
              </w:rPr>
            </w:pPr>
          </w:p>
        </w:tc>
      </w:tr>
      <w:tr w:rsidR="007E1B0B" w:rsidRPr="000D3717" w14:paraId="776BF984" w14:textId="77777777" w:rsidTr="00D0483F">
        <w:trPr>
          <w:gridAfter w:val="1"/>
          <w:wAfter w:w="114" w:type="dxa"/>
        </w:trPr>
        <w:tc>
          <w:tcPr>
            <w:tcW w:w="1710" w:type="dxa"/>
            <w:vMerge w:val="restart"/>
          </w:tcPr>
          <w:p w14:paraId="285C512A" w14:textId="77777777" w:rsidR="007E1B0B" w:rsidRPr="000D3717" w:rsidRDefault="007E1B0B" w:rsidP="00853321">
            <w:pPr>
              <w:rPr>
                <w:rFonts w:ascii="Times New Roman" w:hAnsi="Times New Roman" w:cs="Times New Roman"/>
                <w:sz w:val="24"/>
                <w:szCs w:val="24"/>
              </w:rPr>
            </w:pPr>
            <w:proofErr w:type="spellStart"/>
            <w:r w:rsidRPr="000D3717">
              <w:rPr>
                <w:rFonts w:ascii="Times New Roman" w:hAnsi="Times New Roman" w:cs="Times New Roman"/>
                <w:sz w:val="24"/>
                <w:szCs w:val="24"/>
              </w:rPr>
              <w:t>Konkurrueshmëria</w:t>
            </w:r>
            <w:proofErr w:type="spellEnd"/>
          </w:p>
        </w:tc>
        <w:tc>
          <w:tcPr>
            <w:tcW w:w="4050" w:type="dxa"/>
          </w:tcPr>
          <w:p w14:paraId="78A27FD0"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rritet çmimi i biznesit të produkteve, siç është energjia elektrike? </w:t>
            </w:r>
          </w:p>
        </w:tc>
        <w:tc>
          <w:tcPr>
            <w:tcW w:w="810" w:type="dxa"/>
          </w:tcPr>
          <w:p w14:paraId="0D0E3A50" w14:textId="77777777" w:rsidR="007E1B0B" w:rsidRPr="000D3717" w:rsidRDefault="007E1B0B" w:rsidP="00853321">
            <w:pPr>
              <w:rPr>
                <w:rFonts w:ascii="Times New Roman" w:hAnsi="Times New Roman" w:cs="Times New Roman"/>
                <w:sz w:val="24"/>
                <w:szCs w:val="24"/>
              </w:rPr>
            </w:pPr>
          </w:p>
        </w:tc>
        <w:tc>
          <w:tcPr>
            <w:tcW w:w="810" w:type="dxa"/>
          </w:tcPr>
          <w:p w14:paraId="75DFCA54" w14:textId="2ECA65DB" w:rsidR="007E1B0B" w:rsidRPr="000D3717" w:rsidRDefault="007E1B0B" w:rsidP="00853321">
            <w:pPr>
              <w:rPr>
                <w:rFonts w:ascii="Times New Roman" w:hAnsi="Times New Roman" w:cs="Times New Roman"/>
                <w:sz w:val="24"/>
                <w:szCs w:val="24"/>
              </w:rPr>
            </w:pPr>
            <w:r w:rsidRPr="00E577AB">
              <w:rPr>
                <w:rFonts w:ascii="Times New Roman" w:hAnsi="Times New Roman" w:cs="Times New Roman"/>
                <w:sz w:val="24"/>
                <w:szCs w:val="24"/>
              </w:rPr>
              <w:t>x</w:t>
            </w:r>
          </w:p>
        </w:tc>
        <w:tc>
          <w:tcPr>
            <w:tcW w:w="2430" w:type="dxa"/>
          </w:tcPr>
          <w:p w14:paraId="2561EC5B" w14:textId="77777777" w:rsidR="007E1B0B" w:rsidRPr="000D3717" w:rsidRDefault="007E1B0B" w:rsidP="00853321">
            <w:pPr>
              <w:rPr>
                <w:rFonts w:ascii="Times New Roman" w:hAnsi="Times New Roman" w:cs="Times New Roman"/>
                <w:sz w:val="24"/>
                <w:szCs w:val="24"/>
              </w:rPr>
            </w:pPr>
          </w:p>
        </w:tc>
        <w:tc>
          <w:tcPr>
            <w:tcW w:w="1620" w:type="dxa"/>
          </w:tcPr>
          <w:p w14:paraId="38B53201" w14:textId="77777777" w:rsidR="007E1B0B" w:rsidRPr="000D3717" w:rsidRDefault="007E1B0B" w:rsidP="00853321">
            <w:pPr>
              <w:rPr>
                <w:rFonts w:ascii="Times New Roman" w:hAnsi="Times New Roman" w:cs="Times New Roman"/>
                <w:sz w:val="24"/>
                <w:szCs w:val="24"/>
              </w:rPr>
            </w:pPr>
          </w:p>
        </w:tc>
        <w:tc>
          <w:tcPr>
            <w:tcW w:w="2496" w:type="dxa"/>
          </w:tcPr>
          <w:p w14:paraId="1A4C2D21" w14:textId="77777777" w:rsidR="007E1B0B" w:rsidRPr="000D3717" w:rsidRDefault="007E1B0B" w:rsidP="00853321">
            <w:pPr>
              <w:rPr>
                <w:rFonts w:ascii="Times New Roman" w:hAnsi="Times New Roman" w:cs="Times New Roman"/>
                <w:sz w:val="24"/>
                <w:szCs w:val="24"/>
              </w:rPr>
            </w:pPr>
          </w:p>
        </w:tc>
      </w:tr>
      <w:tr w:rsidR="007E1B0B" w:rsidRPr="000D3717" w14:paraId="5F4FE4C2" w14:textId="77777777" w:rsidTr="00D0483F">
        <w:trPr>
          <w:gridAfter w:val="1"/>
          <w:wAfter w:w="114" w:type="dxa"/>
        </w:trPr>
        <w:tc>
          <w:tcPr>
            <w:tcW w:w="1710" w:type="dxa"/>
            <w:vMerge/>
          </w:tcPr>
          <w:p w14:paraId="04503571" w14:textId="77777777" w:rsidR="007E1B0B" w:rsidRPr="000D3717" w:rsidRDefault="007E1B0B" w:rsidP="00853321">
            <w:pPr>
              <w:rPr>
                <w:rFonts w:ascii="Times New Roman" w:hAnsi="Times New Roman" w:cs="Times New Roman"/>
                <w:sz w:val="24"/>
                <w:szCs w:val="24"/>
              </w:rPr>
            </w:pPr>
          </w:p>
        </w:tc>
        <w:tc>
          <w:tcPr>
            <w:tcW w:w="4050" w:type="dxa"/>
          </w:tcPr>
          <w:p w14:paraId="141EE687"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ulet çmimi i </w:t>
            </w:r>
            <w:proofErr w:type="spellStart"/>
            <w:r w:rsidRPr="000D3717">
              <w:rPr>
                <w:rFonts w:ascii="Times New Roman" w:hAnsi="Times New Roman" w:cs="Times New Roman"/>
                <w:sz w:val="24"/>
                <w:szCs w:val="24"/>
              </w:rPr>
              <w:t>inputeve</w:t>
            </w:r>
            <w:proofErr w:type="spellEnd"/>
            <w:r w:rsidRPr="000D3717">
              <w:rPr>
                <w:rFonts w:ascii="Times New Roman" w:hAnsi="Times New Roman" w:cs="Times New Roman"/>
                <w:sz w:val="24"/>
                <w:szCs w:val="24"/>
              </w:rPr>
              <w:t xml:space="preserve"> të bizneseve, siç është energjia elektrike?</w:t>
            </w:r>
          </w:p>
        </w:tc>
        <w:tc>
          <w:tcPr>
            <w:tcW w:w="810" w:type="dxa"/>
          </w:tcPr>
          <w:p w14:paraId="007E7E8C" w14:textId="77777777" w:rsidR="007E1B0B" w:rsidRPr="000D3717" w:rsidRDefault="007E1B0B" w:rsidP="00853321">
            <w:pPr>
              <w:rPr>
                <w:rFonts w:ascii="Times New Roman" w:hAnsi="Times New Roman" w:cs="Times New Roman"/>
                <w:sz w:val="24"/>
                <w:szCs w:val="24"/>
              </w:rPr>
            </w:pPr>
          </w:p>
        </w:tc>
        <w:tc>
          <w:tcPr>
            <w:tcW w:w="810" w:type="dxa"/>
          </w:tcPr>
          <w:p w14:paraId="0FC96880" w14:textId="475B9D8B" w:rsidR="007E1B0B" w:rsidRPr="000D3717" w:rsidRDefault="007E1B0B" w:rsidP="00853321">
            <w:pPr>
              <w:rPr>
                <w:rFonts w:ascii="Times New Roman" w:hAnsi="Times New Roman" w:cs="Times New Roman"/>
                <w:sz w:val="24"/>
                <w:szCs w:val="24"/>
              </w:rPr>
            </w:pPr>
            <w:r w:rsidRPr="00E577AB">
              <w:rPr>
                <w:rFonts w:ascii="Times New Roman" w:hAnsi="Times New Roman" w:cs="Times New Roman"/>
                <w:sz w:val="24"/>
                <w:szCs w:val="24"/>
              </w:rPr>
              <w:t>x</w:t>
            </w:r>
          </w:p>
        </w:tc>
        <w:tc>
          <w:tcPr>
            <w:tcW w:w="2430" w:type="dxa"/>
          </w:tcPr>
          <w:p w14:paraId="3CBAAD59" w14:textId="77777777" w:rsidR="007E1B0B" w:rsidRPr="000D3717" w:rsidRDefault="007E1B0B" w:rsidP="00853321">
            <w:pPr>
              <w:rPr>
                <w:rFonts w:ascii="Times New Roman" w:hAnsi="Times New Roman" w:cs="Times New Roman"/>
                <w:sz w:val="24"/>
                <w:szCs w:val="24"/>
              </w:rPr>
            </w:pPr>
          </w:p>
        </w:tc>
        <w:tc>
          <w:tcPr>
            <w:tcW w:w="1620" w:type="dxa"/>
          </w:tcPr>
          <w:p w14:paraId="6099132C" w14:textId="77777777" w:rsidR="007E1B0B" w:rsidRPr="000D3717" w:rsidRDefault="007E1B0B" w:rsidP="00853321">
            <w:pPr>
              <w:rPr>
                <w:rFonts w:ascii="Times New Roman" w:hAnsi="Times New Roman" w:cs="Times New Roman"/>
                <w:sz w:val="24"/>
                <w:szCs w:val="24"/>
              </w:rPr>
            </w:pPr>
          </w:p>
        </w:tc>
        <w:tc>
          <w:tcPr>
            <w:tcW w:w="2496" w:type="dxa"/>
          </w:tcPr>
          <w:p w14:paraId="6B816D6D" w14:textId="77777777" w:rsidR="007E1B0B" w:rsidRPr="000D3717" w:rsidRDefault="007E1B0B" w:rsidP="00853321">
            <w:pPr>
              <w:rPr>
                <w:rFonts w:ascii="Times New Roman" w:hAnsi="Times New Roman" w:cs="Times New Roman"/>
                <w:sz w:val="24"/>
                <w:szCs w:val="24"/>
              </w:rPr>
            </w:pPr>
          </w:p>
        </w:tc>
      </w:tr>
      <w:tr w:rsidR="007E1B0B" w:rsidRPr="000D3717" w14:paraId="33814F5D" w14:textId="77777777" w:rsidTr="00D0483F">
        <w:trPr>
          <w:gridAfter w:val="1"/>
          <w:wAfter w:w="114" w:type="dxa"/>
        </w:trPr>
        <w:tc>
          <w:tcPr>
            <w:tcW w:w="1710" w:type="dxa"/>
            <w:vMerge/>
          </w:tcPr>
          <w:p w14:paraId="1707D18D" w14:textId="77777777" w:rsidR="007E1B0B" w:rsidRPr="000D3717" w:rsidRDefault="007E1B0B" w:rsidP="00853321">
            <w:pPr>
              <w:rPr>
                <w:rFonts w:ascii="Times New Roman" w:hAnsi="Times New Roman" w:cs="Times New Roman"/>
                <w:sz w:val="24"/>
                <w:szCs w:val="24"/>
              </w:rPr>
            </w:pPr>
          </w:p>
        </w:tc>
        <w:tc>
          <w:tcPr>
            <w:tcW w:w="4050" w:type="dxa"/>
          </w:tcPr>
          <w:p w14:paraId="21FED75B"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ka gjasa që të promovohen inovacioni dhe hulumtimi?</w:t>
            </w:r>
          </w:p>
        </w:tc>
        <w:tc>
          <w:tcPr>
            <w:tcW w:w="810" w:type="dxa"/>
          </w:tcPr>
          <w:p w14:paraId="48987C53" w14:textId="77777777" w:rsidR="007E1B0B" w:rsidRPr="000D3717" w:rsidRDefault="007E1B0B" w:rsidP="00853321">
            <w:pPr>
              <w:rPr>
                <w:rFonts w:ascii="Times New Roman" w:hAnsi="Times New Roman" w:cs="Times New Roman"/>
                <w:sz w:val="24"/>
                <w:szCs w:val="24"/>
              </w:rPr>
            </w:pPr>
          </w:p>
        </w:tc>
        <w:tc>
          <w:tcPr>
            <w:tcW w:w="810" w:type="dxa"/>
          </w:tcPr>
          <w:p w14:paraId="1CE653D2" w14:textId="4514F7FD" w:rsidR="007E1B0B" w:rsidRPr="000D3717" w:rsidRDefault="007E1B0B" w:rsidP="00853321">
            <w:pPr>
              <w:rPr>
                <w:rFonts w:ascii="Times New Roman" w:hAnsi="Times New Roman" w:cs="Times New Roman"/>
                <w:sz w:val="24"/>
                <w:szCs w:val="24"/>
              </w:rPr>
            </w:pPr>
            <w:r w:rsidRPr="00E577AB">
              <w:rPr>
                <w:rFonts w:ascii="Times New Roman" w:hAnsi="Times New Roman" w:cs="Times New Roman"/>
                <w:sz w:val="24"/>
                <w:szCs w:val="24"/>
              </w:rPr>
              <w:t>x</w:t>
            </w:r>
          </w:p>
        </w:tc>
        <w:tc>
          <w:tcPr>
            <w:tcW w:w="2430" w:type="dxa"/>
          </w:tcPr>
          <w:p w14:paraId="4B2A66B2"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34B2987A" w14:textId="77777777" w:rsidR="007E1B0B" w:rsidRPr="000D3717" w:rsidRDefault="007E1B0B" w:rsidP="00853321">
            <w:pPr>
              <w:rPr>
                <w:rFonts w:ascii="Times New Roman" w:hAnsi="Times New Roman" w:cs="Times New Roman"/>
                <w:sz w:val="24"/>
                <w:szCs w:val="24"/>
              </w:rPr>
            </w:pPr>
          </w:p>
        </w:tc>
        <w:tc>
          <w:tcPr>
            <w:tcW w:w="2496" w:type="dxa"/>
          </w:tcPr>
          <w:p w14:paraId="429043AE" w14:textId="77777777" w:rsidR="007E1B0B" w:rsidRPr="000D3717" w:rsidRDefault="007E1B0B" w:rsidP="00853321">
            <w:pPr>
              <w:rPr>
                <w:rFonts w:ascii="Times New Roman" w:hAnsi="Times New Roman" w:cs="Times New Roman"/>
                <w:sz w:val="24"/>
                <w:szCs w:val="24"/>
              </w:rPr>
            </w:pPr>
          </w:p>
        </w:tc>
      </w:tr>
      <w:tr w:rsidR="007E1B0B" w:rsidRPr="000D3717" w14:paraId="7440AA8E" w14:textId="77777777" w:rsidTr="00D0483F">
        <w:trPr>
          <w:gridAfter w:val="1"/>
          <w:wAfter w:w="114" w:type="dxa"/>
        </w:trPr>
        <w:tc>
          <w:tcPr>
            <w:tcW w:w="1710" w:type="dxa"/>
            <w:vMerge/>
          </w:tcPr>
          <w:p w14:paraId="02CE84DF" w14:textId="77777777" w:rsidR="007E1B0B" w:rsidRPr="000D3717" w:rsidRDefault="007E1B0B" w:rsidP="00853321">
            <w:pPr>
              <w:rPr>
                <w:rFonts w:ascii="Times New Roman" w:hAnsi="Times New Roman" w:cs="Times New Roman"/>
                <w:sz w:val="24"/>
                <w:szCs w:val="24"/>
              </w:rPr>
            </w:pPr>
          </w:p>
        </w:tc>
        <w:tc>
          <w:tcPr>
            <w:tcW w:w="4050" w:type="dxa"/>
          </w:tcPr>
          <w:p w14:paraId="47CC0992"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ka gjasa që inovacioni dhe hulumtimi të pengohen?</w:t>
            </w:r>
          </w:p>
        </w:tc>
        <w:tc>
          <w:tcPr>
            <w:tcW w:w="810" w:type="dxa"/>
          </w:tcPr>
          <w:p w14:paraId="79980679" w14:textId="77777777" w:rsidR="007E1B0B" w:rsidRPr="000D3717" w:rsidRDefault="007E1B0B" w:rsidP="00853321">
            <w:pPr>
              <w:rPr>
                <w:rFonts w:ascii="Times New Roman" w:hAnsi="Times New Roman" w:cs="Times New Roman"/>
                <w:sz w:val="24"/>
                <w:szCs w:val="24"/>
              </w:rPr>
            </w:pPr>
          </w:p>
        </w:tc>
        <w:tc>
          <w:tcPr>
            <w:tcW w:w="810" w:type="dxa"/>
          </w:tcPr>
          <w:p w14:paraId="583D3808" w14:textId="0706F5CC" w:rsidR="007E1B0B" w:rsidRPr="000D3717" w:rsidRDefault="007E1B0B" w:rsidP="00853321">
            <w:pPr>
              <w:rPr>
                <w:rFonts w:ascii="Times New Roman" w:hAnsi="Times New Roman" w:cs="Times New Roman"/>
                <w:sz w:val="24"/>
                <w:szCs w:val="24"/>
              </w:rPr>
            </w:pPr>
            <w:r w:rsidRPr="00E577AB">
              <w:rPr>
                <w:rFonts w:ascii="Times New Roman" w:hAnsi="Times New Roman" w:cs="Times New Roman"/>
                <w:sz w:val="24"/>
                <w:szCs w:val="24"/>
              </w:rPr>
              <w:t>x</w:t>
            </w:r>
          </w:p>
        </w:tc>
        <w:tc>
          <w:tcPr>
            <w:tcW w:w="2430" w:type="dxa"/>
          </w:tcPr>
          <w:p w14:paraId="3F9B7049" w14:textId="77777777" w:rsidR="007E1B0B" w:rsidRPr="000D3717" w:rsidRDefault="007E1B0B" w:rsidP="00853321">
            <w:pPr>
              <w:rPr>
                <w:rFonts w:ascii="Times New Roman" w:hAnsi="Times New Roman" w:cs="Times New Roman"/>
                <w:sz w:val="24"/>
                <w:szCs w:val="24"/>
              </w:rPr>
            </w:pPr>
          </w:p>
        </w:tc>
        <w:tc>
          <w:tcPr>
            <w:tcW w:w="1620" w:type="dxa"/>
          </w:tcPr>
          <w:p w14:paraId="492F7124" w14:textId="77777777" w:rsidR="007E1B0B" w:rsidRPr="000D3717" w:rsidRDefault="007E1B0B" w:rsidP="00853321">
            <w:pPr>
              <w:rPr>
                <w:rFonts w:ascii="Times New Roman" w:hAnsi="Times New Roman" w:cs="Times New Roman"/>
                <w:sz w:val="24"/>
                <w:szCs w:val="24"/>
              </w:rPr>
            </w:pPr>
          </w:p>
        </w:tc>
        <w:tc>
          <w:tcPr>
            <w:tcW w:w="2496" w:type="dxa"/>
          </w:tcPr>
          <w:p w14:paraId="3C145D00" w14:textId="77777777" w:rsidR="007E1B0B" w:rsidRPr="000D3717" w:rsidRDefault="007E1B0B" w:rsidP="00853321">
            <w:pPr>
              <w:rPr>
                <w:rFonts w:ascii="Times New Roman" w:hAnsi="Times New Roman" w:cs="Times New Roman"/>
                <w:sz w:val="24"/>
                <w:szCs w:val="24"/>
              </w:rPr>
            </w:pPr>
          </w:p>
        </w:tc>
      </w:tr>
      <w:tr w:rsidR="00494035" w:rsidRPr="000D3717" w14:paraId="4AB10DE0" w14:textId="77777777" w:rsidTr="00D0483F">
        <w:trPr>
          <w:gridAfter w:val="1"/>
          <w:wAfter w:w="114" w:type="dxa"/>
        </w:trPr>
        <w:tc>
          <w:tcPr>
            <w:tcW w:w="1710" w:type="dxa"/>
          </w:tcPr>
          <w:p w14:paraId="6FDBF674"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Ndikimi në NVM</w:t>
            </w:r>
          </w:p>
        </w:tc>
        <w:tc>
          <w:tcPr>
            <w:tcW w:w="4050" w:type="dxa"/>
          </w:tcPr>
          <w:p w14:paraId="648ABD7E" w14:textId="77777777" w:rsidR="00494035" w:rsidRPr="000D3717" w:rsidRDefault="00494035" w:rsidP="00853321">
            <w:pPr>
              <w:rPr>
                <w:rFonts w:ascii="Times New Roman" w:hAnsi="Times New Roman" w:cs="Times New Roman"/>
                <w:sz w:val="24"/>
                <w:szCs w:val="24"/>
              </w:rPr>
            </w:pPr>
            <w:r w:rsidRPr="000D3717">
              <w:rPr>
                <w:rFonts w:ascii="Times New Roman" w:hAnsi="Times New Roman" w:cs="Times New Roman"/>
                <w:sz w:val="24"/>
                <w:szCs w:val="24"/>
              </w:rPr>
              <w:t>A janë kompanitë e prekura kryesisht NVM?</w:t>
            </w:r>
          </w:p>
        </w:tc>
        <w:tc>
          <w:tcPr>
            <w:tcW w:w="810" w:type="dxa"/>
          </w:tcPr>
          <w:p w14:paraId="399486A1" w14:textId="69E9B83B" w:rsidR="00494035"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11FDB1FF" w14:textId="77777777" w:rsidR="00494035" w:rsidRPr="000D3717" w:rsidRDefault="00494035" w:rsidP="00853321">
            <w:pPr>
              <w:rPr>
                <w:rFonts w:ascii="Times New Roman" w:hAnsi="Times New Roman" w:cs="Times New Roman"/>
                <w:sz w:val="24"/>
                <w:szCs w:val="24"/>
              </w:rPr>
            </w:pPr>
          </w:p>
        </w:tc>
        <w:tc>
          <w:tcPr>
            <w:tcW w:w="2430" w:type="dxa"/>
          </w:tcPr>
          <w:p w14:paraId="4CA23F81"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I lartë</w:t>
            </w:r>
          </w:p>
        </w:tc>
        <w:tc>
          <w:tcPr>
            <w:tcW w:w="1620" w:type="dxa"/>
          </w:tcPr>
          <w:p w14:paraId="076B16BA" w14:textId="77777777" w:rsidR="00494035" w:rsidRPr="000D3717" w:rsidRDefault="00494035" w:rsidP="00853321">
            <w:pPr>
              <w:rPr>
                <w:rFonts w:ascii="Times New Roman" w:hAnsi="Times New Roman" w:cs="Times New Roman"/>
                <w:sz w:val="24"/>
                <w:szCs w:val="24"/>
              </w:rPr>
            </w:pPr>
            <w:r>
              <w:rPr>
                <w:rFonts w:ascii="Times New Roman" w:hAnsi="Times New Roman" w:cs="Times New Roman"/>
                <w:sz w:val="24"/>
                <w:szCs w:val="24"/>
              </w:rPr>
              <w:t>I ulët</w:t>
            </w:r>
          </w:p>
        </w:tc>
        <w:tc>
          <w:tcPr>
            <w:tcW w:w="2496" w:type="dxa"/>
          </w:tcPr>
          <w:p w14:paraId="32538F66" w14:textId="5F16D0B1" w:rsidR="00494035" w:rsidRPr="000D3717" w:rsidRDefault="00494035" w:rsidP="00C61042">
            <w:pPr>
              <w:rPr>
                <w:rFonts w:ascii="Times New Roman" w:hAnsi="Times New Roman" w:cs="Times New Roman"/>
                <w:sz w:val="24"/>
                <w:szCs w:val="24"/>
              </w:rPr>
            </w:pPr>
            <w:r>
              <w:rPr>
                <w:rFonts w:ascii="Times New Roman" w:hAnsi="Times New Roman" w:cs="Times New Roman"/>
                <w:sz w:val="24"/>
                <w:szCs w:val="24"/>
              </w:rPr>
              <w:t xml:space="preserve">Mbi 90% të ndërmarrjeve në Kosovë janë NVM </w:t>
            </w:r>
          </w:p>
        </w:tc>
      </w:tr>
      <w:tr w:rsidR="007E1B0B" w:rsidRPr="000D3717" w14:paraId="014C8C73" w14:textId="77777777" w:rsidTr="00D0483F">
        <w:trPr>
          <w:gridAfter w:val="1"/>
          <w:wAfter w:w="114" w:type="dxa"/>
        </w:trPr>
        <w:tc>
          <w:tcPr>
            <w:tcW w:w="1710" w:type="dxa"/>
            <w:vMerge w:val="restart"/>
          </w:tcPr>
          <w:p w14:paraId="056E31B4"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Çmimet dhe konkurrenca</w:t>
            </w:r>
          </w:p>
        </w:tc>
        <w:tc>
          <w:tcPr>
            <w:tcW w:w="4050" w:type="dxa"/>
          </w:tcPr>
          <w:p w14:paraId="6F758C5F"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rritet numri i mallrave dhe shërbimeve në dispozicion për biznesin apo konsumatorët? </w:t>
            </w:r>
          </w:p>
        </w:tc>
        <w:tc>
          <w:tcPr>
            <w:tcW w:w="810" w:type="dxa"/>
          </w:tcPr>
          <w:p w14:paraId="0B970B61" w14:textId="77777777" w:rsidR="007E1B0B" w:rsidRPr="000D3717" w:rsidRDefault="007E1B0B" w:rsidP="00853321">
            <w:pPr>
              <w:rPr>
                <w:rFonts w:ascii="Times New Roman" w:hAnsi="Times New Roman" w:cs="Times New Roman"/>
                <w:sz w:val="24"/>
                <w:szCs w:val="24"/>
              </w:rPr>
            </w:pPr>
          </w:p>
        </w:tc>
        <w:tc>
          <w:tcPr>
            <w:tcW w:w="810" w:type="dxa"/>
          </w:tcPr>
          <w:p w14:paraId="3C9C4D3F" w14:textId="0E5F2232"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534C4EE4"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317B54F9" w14:textId="77777777" w:rsidR="007E1B0B" w:rsidRPr="000D3717" w:rsidRDefault="007E1B0B" w:rsidP="00853321">
            <w:pPr>
              <w:rPr>
                <w:rFonts w:ascii="Times New Roman" w:hAnsi="Times New Roman" w:cs="Times New Roman"/>
                <w:sz w:val="24"/>
                <w:szCs w:val="24"/>
              </w:rPr>
            </w:pPr>
          </w:p>
        </w:tc>
        <w:tc>
          <w:tcPr>
            <w:tcW w:w="2496" w:type="dxa"/>
          </w:tcPr>
          <w:p w14:paraId="6377AD9F" w14:textId="77777777" w:rsidR="007E1B0B" w:rsidRPr="000D3717" w:rsidRDefault="007E1B0B" w:rsidP="00853321">
            <w:pPr>
              <w:rPr>
                <w:rFonts w:ascii="Times New Roman" w:hAnsi="Times New Roman" w:cs="Times New Roman"/>
                <w:sz w:val="24"/>
                <w:szCs w:val="24"/>
              </w:rPr>
            </w:pPr>
          </w:p>
        </w:tc>
      </w:tr>
      <w:tr w:rsidR="007E1B0B" w:rsidRPr="000D3717" w14:paraId="047FE202" w14:textId="77777777" w:rsidTr="00D0483F">
        <w:trPr>
          <w:gridAfter w:val="1"/>
          <w:wAfter w:w="114" w:type="dxa"/>
        </w:trPr>
        <w:tc>
          <w:tcPr>
            <w:tcW w:w="1710" w:type="dxa"/>
            <w:vMerge/>
          </w:tcPr>
          <w:p w14:paraId="70B4C987" w14:textId="77777777" w:rsidR="007E1B0B" w:rsidRPr="000D3717" w:rsidRDefault="007E1B0B" w:rsidP="00853321">
            <w:pPr>
              <w:rPr>
                <w:rFonts w:ascii="Times New Roman" w:hAnsi="Times New Roman" w:cs="Times New Roman"/>
                <w:sz w:val="24"/>
                <w:szCs w:val="24"/>
              </w:rPr>
            </w:pPr>
          </w:p>
        </w:tc>
        <w:tc>
          <w:tcPr>
            <w:tcW w:w="4050" w:type="dxa"/>
          </w:tcPr>
          <w:p w14:paraId="62A43142"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do të zvogëlohet numri i mallrave dhe shërbimeve në dispozicion për biznesin apo konsumatorët?</w:t>
            </w:r>
          </w:p>
        </w:tc>
        <w:tc>
          <w:tcPr>
            <w:tcW w:w="810" w:type="dxa"/>
          </w:tcPr>
          <w:p w14:paraId="5002A809" w14:textId="77777777" w:rsidR="007E1B0B" w:rsidRPr="000D3717" w:rsidRDefault="007E1B0B" w:rsidP="00853321">
            <w:pPr>
              <w:rPr>
                <w:rFonts w:ascii="Times New Roman" w:hAnsi="Times New Roman" w:cs="Times New Roman"/>
                <w:sz w:val="24"/>
                <w:szCs w:val="24"/>
              </w:rPr>
            </w:pPr>
          </w:p>
        </w:tc>
        <w:tc>
          <w:tcPr>
            <w:tcW w:w="810" w:type="dxa"/>
          </w:tcPr>
          <w:p w14:paraId="10F5532A" w14:textId="557B4E01"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2E842955" w14:textId="77777777" w:rsidR="007E1B0B" w:rsidRPr="000D3717" w:rsidRDefault="007E1B0B" w:rsidP="00853321">
            <w:pPr>
              <w:rPr>
                <w:rFonts w:ascii="Times New Roman" w:hAnsi="Times New Roman" w:cs="Times New Roman"/>
                <w:sz w:val="24"/>
                <w:szCs w:val="24"/>
              </w:rPr>
            </w:pPr>
          </w:p>
        </w:tc>
        <w:tc>
          <w:tcPr>
            <w:tcW w:w="1620" w:type="dxa"/>
          </w:tcPr>
          <w:p w14:paraId="1F3268C3" w14:textId="77777777" w:rsidR="007E1B0B" w:rsidRPr="000D3717" w:rsidRDefault="007E1B0B" w:rsidP="00853321">
            <w:pPr>
              <w:rPr>
                <w:rFonts w:ascii="Times New Roman" w:hAnsi="Times New Roman" w:cs="Times New Roman"/>
                <w:sz w:val="24"/>
                <w:szCs w:val="24"/>
              </w:rPr>
            </w:pPr>
          </w:p>
        </w:tc>
        <w:tc>
          <w:tcPr>
            <w:tcW w:w="2496" w:type="dxa"/>
          </w:tcPr>
          <w:p w14:paraId="6BE9D43C" w14:textId="77777777" w:rsidR="007E1B0B" w:rsidRPr="000D3717" w:rsidRDefault="007E1B0B" w:rsidP="00853321">
            <w:pPr>
              <w:rPr>
                <w:rFonts w:ascii="Times New Roman" w:hAnsi="Times New Roman" w:cs="Times New Roman"/>
                <w:sz w:val="24"/>
                <w:szCs w:val="24"/>
              </w:rPr>
            </w:pPr>
          </w:p>
        </w:tc>
      </w:tr>
      <w:tr w:rsidR="007E1B0B" w:rsidRPr="000D3717" w14:paraId="59E9921F" w14:textId="77777777" w:rsidTr="00D0483F">
        <w:trPr>
          <w:gridAfter w:val="1"/>
          <w:wAfter w:w="114" w:type="dxa"/>
        </w:trPr>
        <w:tc>
          <w:tcPr>
            <w:tcW w:w="1710" w:type="dxa"/>
            <w:vMerge/>
          </w:tcPr>
          <w:p w14:paraId="390E22E5" w14:textId="77777777" w:rsidR="007E1B0B" w:rsidRPr="000D3717" w:rsidRDefault="007E1B0B" w:rsidP="00853321">
            <w:pPr>
              <w:rPr>
                <w:rFonts w:ascii="Times New Roman" w:hAnsi="Times New Roman" w:cs="Times New Roman"/>
                <w:sz w:val="24"/>
                <w:szCs w:val="24"/>
              </w:rPr>
            </w:pPr>
          </w:p>
        </w:tc>
        <w:tc>
          <w:tcPr>
            <w:tcW w:w="4050" w:type="dxa"/>
          </w:tcPr>
          <w:p w14:paraId="6E5D7F8F"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do të rriten çmimet e mallrave dhe shërbimeve ekzistuese?</w:t>
            </w:r>
          </w:p>
        </w:tc>
        <w:tc>
          <w:tcPr>
            <w:tcW w:w="810" w:type="dxa"/>
          </w:tcPr>
          <w:p w14:paraId="13F37F06" w14:textId="77777777" w:rsidR="007E1B0B" w:rsidRPr="000D3717" w:rsidRDefault="007E1B0B" w:rsidP="00853321">
            <w:pPr>
              <w:rPr>
                <w:rFonts w:ascii="Times New Roman" w:hAnsi="Times New Roman" w:cs="Times New Roman"/>
                <w:sz w:val="24"/>
                <w:szCs w:val="24"/>
              </w:rPr>
            </w:pPr>
          </w:p>
        </w:tc>
        <w:tc>
          <w:tcPr>
            <w:tcW w:w="810" w:type="dxa"/>
          </w:tcPr>
          <w:p w14:paraId="7F5CB635" w14:textId="382AB86C"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22C715D4" w14:textId="77777777" w:rsidR="007E1B0B" w:rsidRPr="000D3717" w:rsidRDefault="007E1B0B" w:rsidP="00853321">
            <w:pPr>
              <w:rPr>
                <w:rFonts w:ascii="Times New Roman" w:hAnsi="Times New Roman" w:cs="Times New Roman"/>
                <w:sz w:val="24"/>
                <w:szCs w:val="24"/>
              </w:rPr>
            </w:pPr>
          </w:p>
        </w:tc>
        <w:tc>
          <w:tcPr>
            <w:tcW w:w="1620" w:type="dxa"/>
          </w:tcPr>
          <w:p w14:paraId="4A9D222F" w14:textId="77777777" w:rsidR="007E1B0B" w:rsidRPr="000D3717" w:rsidRDefault="007E1B0B" w:rsidP="00853321">
            <w:pPr>
              <w:rPr>
                <w:rFonts w:ascii="Times New Roman" w:hAnsi="Times New Roman" w:cs="Times New Roman"/>
                <w:sz w:val="24"/>
                <w:szCs w:val="24"/>
              </w:rPr>
            </w:pPr>
          </w:p>
        </w:tc>
        <w:tc>
          <w:tcPr>
            <w:tcW w:w="2496" w:type="dxa"/>
          </w:tcPr>
          <w:p w14:paraId="09353972" w14:textId="77777777" w:rsidR="007E1B0B" w:rsidRPr="000D3717" w:rsidRDefault="007E1B0B" w:rsidP="00853321">
            <w:pPr>
              <w:rPr>
                <w:rFonts w:ascii="Times New Roman" w:hAnsi="Times New Roman" w:cs="Times New Roman"/>
                <w:sz w:val="24"/>
                <w:szCs w:val="24"/>
              </w:rPr>
            </w:pPr>
          </w:p>
        </w:tc>
      </w:tr>
      <w:tr w:rsidR="007E1B0B" w:rsidRPr="000D3717" w14:paraId="60AD18B5" w14:textId="77777777" w:rsidTr="00D0483F">
        <w:trPr>
          <w:gridAfter w:val="1"/>
          <w:wAfter w:w="114" w:type="dxa"/>
        </w:trPr>
        <w:tc>
          <w:tcPr>
            <w:tcW w:w="1710" w:type="dxa"/>
            <w:vMerge/>
          </w:tcPr>
          <w:p w14:paraId="70978294" w14:textId="77777777" w:rsidR="007E1B0B" w:rsidRPr="000D3717" w:rsidRDefault="007E1B0B" w:rsidP="00853321">
            <w:pPr>
              <w:rPr>
                <w:rFonts w:ascii="Times New Roman" w:hAnsi="Times New Roman" w:cs="Times New Roman"/>
                <w:sz w:val="24"/>
                <w:szCs w:val="24"/>
              </w:rPr>
            </w:pPr>
          </w:p>
        </w:tc>
        <w:tc>
          <w:tcPr>
            <w:tcW w:w="4050" w:type="dxa"/>
          </w:tcPr>
          <w:p w14:paraId="7F79675D"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do të ulen çmimet e mallrave dhe shërbimeve ekzistuese?</w:t>
            </w:r>
          </w:p>
        </w:tc>
        <w:tc>
          <w:tcPr>
            <w:tcW w:w="810" w:type="dxa"/>
          </w:tcPr>
          <w:p w14:paraId="6F7F67DF" w14:textId="77777777" w:rsidR="007E1B0B" w:rsidRPr="000D3717" w:rsidRDefault="007E1B0B" w:rsidP="00853321">
            <w:pPr>
              <w:rPr>
                <w:rFonts w:ascii="Times New Roman" w:hAnsi="Times New Roman" w:cs="Times New Roman"/>
                <w:sz w:val="24"/>
                <w:szCs w:val="24"/>
              </w:rPr>
            </w:pPr>
          </w:p>
        </w:tc>
        <w:tc>
          <w:tcPr>
            <w:tcW w:w="810" w:type="dxa"/>
          </w:tcPr>
          <w:p w14:paraId="05C0D76B" w14:textId="2D37FFE4"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5214CBA8" w14:textId="77777777" w:rsidR="007E1B0B" w:rsidRPr="000D3717" w:rsidRDefault="007E1B0B" w:rsidP="00853321">
            <w:pPr>
              <w:rPr>
                <w:rFonts w:ascii="Times New Roman" w:hAnsi="Times New Roman" w:cs="Times New Roman"/>
                <w:sz w:val="24"/>
                <w:szCs w:val="24"/>
              </w:rPr>
            </w:pPr>
          </w:p>
        </w:tc>
        <w:tc>
          <w:tcPr>
            <w:tcW w:w="1620" w:type="dxa"/>
          </w:tcPr>
          <w:p w14:paraId="02D5D72F" w14:textId="77777777" w:rsidR="007E1B0B" w:rsidRPr="000D3717" w:rsidRDefault="007E1B0B" w:rsidP="00853321">
            <w:pPr>
              <w:rPr>
                <w:rFonts w:ascii="Times New Roman" w:hAnsi="Times New Roman" w:cs="Times New Roman"/>
                <w:sz w:val="24"/>
                <w:szCs w:val="24"/>
              </w:rPr>
            </w:pPr>
          </w:p>
        </w:tc>
        <w:tc>
          <w:tcPr>
            <w:tcW w:w="2496" w:type="dxa"/>
          </w:tcPr>
          <w:p w14:paraId="60ACCFCF" w14:textId="77777777" w:rsidR="007E1B0B" w:rsidRPr="000D3717" w:rsidRDefault="007E1B0B" w:rsidP="00853321">
            <w:pPr>
              <w:rPr>
                <w:rFonts w:ascii="Times New Roman" w:hAnsi="Times New Roman" w:cs="Times New Roman"/>
                <w:sz w:val="24"/>
                <w:szCs w:val="24"/>
              </w:rPr>
            </w:pPr>
          </w:p>
        </w:tc>
      </w:tr>
      <w:tr w:rsidR="007E1B0B" w:rsidRPr="000D3717" w14:paraId="02141306" w14:textId="77777777" w:rsidTr="00D0483F">
        <w:trPr>
          <w:gridAfter w:val="1"/>
          <w:wAfter w:w="114" w:type="dxa"/>
        </w:trPr>
        <w:tc>
          <w:tcPr>
            <w:tcW w:w="1710" w:type="dxa"/>
            <w:vMerge w:val="restart"/>
          </w:tcPr>
          <w:p w14:paraId="6B99C6C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Ndikimet ekonomike rajonale</w:t>
            </w:r>
          </w:p>
        </w:tc>
        <w:tc>
          <w:tcPr>
            <w:tcW w:w="4050" w:type="dxa"/>
          </w:tcPr>
          <w:p w14:paraId="056C614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do të ndikohet ndonjë sektor i veçantë i biznesit?</w:t>
            </w:r>
          </w:p>
        </w:tc>
        <w:tc>
          <w:tcPr>
            <w:tcW w:w="810" w:type="dxa"/>
          </w:tcPr>
          <w:p w14:paraId="29DD445A" w14:textId="77777777" w:rsidR="007E1B0B" w:rsidRPr="000D3717" w:rsidRDefault="007E1B0B" w:rsidP="00853321">
            <w:pPr>
              <w:rPr>
                <w:rFonts w:ascii="Times New Roman" w:hAnsi="Times New Roman" w:cs="Times New Roman"/>
                <w:sz w:val="24"/>
                <w:szCs w:val="24"/>
              </w:rPr>
            </w:pPr>
          </w:p>
        </w:tc>
        <w:tc>
          <w:tcPr>
            <w:tcW w:w="810" w:type="dxa"/>
          </w:tcPr>
          <w:p w14:paraId="2893FCD3" w14:textId="0A5B92DB"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5056F31B" w14:textId="77777777" w:rsidR="007E1B0B" w:rsidRPr="000D3717" w:rsidRDefault="007E1B0B" w:rsidP="00853321">
            <w:pPr>
              <w:rPr>
                <w:rFonts w:ascii="Times New Roman" w:hAnsi="Times New Roman" w:cs="Times New Roman"/>
                <w:sz w:val="24"/>
                <w:szCs w:val="24"/>
              </w:rPr>
            </w:pPr>
          </w:p>
        </w:tc>
        <w:tc>
          <w:tcPr>
            <w:tcW w:w="1620" w:type="dxa"/>
          </w:tcPr>
          <w:p w14:paraId="32B94573" w14:textId="77777777" w:rsidR="007E1B0B" w:rsidRPr="000D3717" w:rsidRDefault="007E1B0B" w:rsidP="00853321">
            <w:pPr>
              <w:rPr>
                <w:rFonts w:ascii="Times New Roman" w:hAnsi="Times New Roman" w:cs="Times New Roman"/>
                <w:sz w:val="24"/>
                <w:szCs w:val="24"/>
              </w:rPr>
            </w:pPr>
          </w:p>
        </w:tc>
        <w:tc>
          <w:tcPr>
            <w:tcW w:w="2496" w:type="dxa"/>
          </w:tcPr>
          <w:p w14:paraId="08AA232C" w14:textId="77777777" w:rsidR="007E1B0B" w:rsidRPr="000D3717" w:rsidRDefault="007E1B0B" w:rsidP="00853321">
            <w:pPr>
              <w:rPr>
                <w:rFonts w:ascii="Times New Roman" w:hAnsi="Times New Roman" w:cs="Times New Roman"/>
                <w:sz w:val="24"/>
                <w:szCs w:val="24"/>
              </w:rPr>
            </w:pPr>
          </w:p>
        </w:tc>
      </w:tr>
      <w:tr w:rsidR="007E1B0B" w:rsidRPr="000D3717" w14:paraId="1E8E7E3C" w14:textId="77777777" w:rsidTr="00D0483F">
        <w:trPr>
          <w:gridAfter w:val="1"/>
          <w:wAfter w:w="114" w:type="dxa"/>
        </w:trPr>
        <w:tc>
          <w:tcPr>
            <w:tcW w:w="1710" w:type="dxa"/>
            <w:vMerge/>
          </w:tcPr>
          <w:p w14:paraId="572A7DF5" w14:textId="77777777" w:rsidR="007E1B0B" w:rsidRPr="000D3717" w:rsidRDefault="007E1B0B" w:rsidP="00853321">
            <w:pPr>
              <w:rPr>
                <w:rFonts w:ascii="Times New Roman" w:hAnsi="Times New Roman" w:cs="Times New Roman"/>
                <w:sz w:val="24"/>
                <w:szCs w:val="24"/>
              </w:rPr>
            </w:pPr>
          </w:p>
        </w:tc>
        <w:tc>
          <w:tcPr>
            <w:tcW w:w="4050" w:type="dxa"/>
          </w:tcPr>
          <w:p w14:paraId="142F035D"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është ky sektor i koncentruar në një rajon të caktuar?</w:t>
            </w:r>
          </w:p>
        </w:tc>
        <w:tc>
          <w:tcPr>
            <w:tcW w:w="810" w:type="dxa"/>
          </w:tcPr>
          <w:p w14:paraId="6AA0CBB8" w14:textId="77777777" w:rsidR="007E1B0B" w:rsidRPr="000D3717" w:rsidRDefault="007E1B0B" w:rsidP="00853321">
            <w:pPr>
              <w:rPr>
                <w:rFonts w:ascii="Times New Roman" w:hAnsi="Times New Roman" w:cs="Times New Roman"/>
                <w:sz w:val="24"/>
                <w:szCs w:val="24"/>
              </w:rPr>
            </w:pPr>
          </w:p>
        </w:tc>
        <w:tc>
          <w:tcPr>
            <w:tcW w:w="810" w:type="dxa"/>
          </w:tcPr>
          <w:p w14:paraId="35B42FE1" w14:textId="6664252E" w:rsidR="007E1B0B" w:rsidRPr="000D3717" w:rsidRDefault="007E1B0B" w:rsidP="00853321">
            <w:pPr>
              <w:rPr>
                <w:rFonts w:ascii="Times New Roman" w:hAnsi="Times New Roman" w:cs="Times New Roman"/>
                <w:sz w:val="24"/>
                <w:szCs w:val="24"/>
              </w:rPr>
            </w:pPr>
            <w:r w:rsidRPr="002E3B17">
              <w:rPr>
                <w:rFonts w:ascii="Times New Roman" w:hAnsi="Times New Roman" w:cs="Times New Roman"/>
                <w:sz w:val="24"/>
                <w:szCs w:val="24"/>
              </w:rPr>
              <w:t>x</w:t>
            </w:r>
          </w:p>
        </w:tc>
        <w:tc>
          <w:tcPr>
            <w:tcW w:w="2430" w:type="dxa"/>
          </w:tcPr>
          <w:p w14:paraId="5C9DA301" w14:textId="77777777" w:rsidR="007E1B0B" w:rsidRPr="000D3717" w:rsidRDefault="007E1B0B" w:rsidP="00853321">
            <w:pPr>
              <w:rPr>
                <w:rFonts w:ascii="Times New Roman" w:hAnsi="Times New Roman" w:cs="Times New Roman"/>
                <w:sz w:val="24"/>
                <w:szCs w:val="24"/>
              </w:rPr>
            </w:pPr>
          </w:p>
        </w:tc>
        <w:tc>
          <w:tcPr>
            <w:tcW w:w="1620" w:type="dxa"/>
          </w:tcPr>
          <w:p w14:paraId="26833628" w14:textId="77777777" w:rsidR="007E1B0B" w:rsidRPr="000D3717" w:rsidRDefault="007E1B0B" w:rsidP="00853321">
            <w:pPr>
              <w:rPr>
                <w:rFonts w:ascii="Times New Roman" w:hAnsi="Times New Roman" w:cs="Times New Roman"/>
                <w:sz w:val="24"/>
                <w:szCs w:val="24"/>
              </w:rPr>
            </w:pPr>
          </w:p>
        </w:tc>
        <w:tc>
          <w:tcPr>
            <w:tcW w:w="2496" w:type="dxa"/>
          </w:tcPr>
          <w:p w14:paraId="12C15960" w14:textId="77777777" w:rsidR="007E1B0B" w:rsidRPr="000D3717" w:rsidRDefault="007E1B0B" w:rsidP="00853321">
            <w:pPr>
              <w:rPr>
                <w:rFonts w:ascii="Times New Roman" w:hAnsi="Times New Roman" w:cs="Times New Roman"/>
                <w:sz w:val="24"/>
                <w:szCs w:val="24"/>
              </w:rPr>
            </w:pPr>
          </w:p>
        </w:tc>
      </w:tr>
      <w:tr w:rsidR="007E1B0B" w:rsidRPr="000D3717" w14:paraId="607940DC" w14:textId="77777777" w:rsidTr="00D0483F">
        <w:trPr>
          <w:gridAfter w:val="1"/>
          <w:wAfter w:w="114" w:type="dxa"/>
        </w:trPr>
        <w:tc>
          <w:tcPr>
            <w:tcW w:w="1710" w:type="dxa"/>
            <w:vMerge w:val="restart"/>
          </w:tcPr>
          <w:p w14:paraId="5B8D8CC7"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lastRenderedPageBreak/>
              <w:t>Zhvillimi i përgjithshëm ekonomik</w:t>
            </w:r>
          </w:p>
        </w:tc>
        <w:tc>
          <w:tcPr>
            <w:tcW w:w="4050" w:type="dxa"/>
          </w:tcPr>
          <w:p w14:paraId="605E84FC"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 xml:space="preserve">A do të ndikohet rritja e ardhshme ekonomike? </w:t>
            </w:r>
          </w:p>
        </w:tc>
        <w:tc>
          <w:tcPr>
            <w:tcW w:w="810" w:type="dxa"/>
          </w:tcPr>
          <w:p w14:paraId="25209775" w14:textId="77777777" w:rsidR="007E1B0B" w:rsidRPr="000D3717" w:rsidRDefault="007E1B0B" w:rsidP="00853321">
            <w:pPr>
              <w:rPr>
                <w:rFonts w:ascii="Times New Roman" w:hAnsi="Times New Roman" w:cs="Times New Roman"/>
                <w:sz w:val="24"/>
                <w:szCs w:val="24"/>
              </w:rPr>
            </w:pPr>
          </w:p>
        </w:tc>
        <w:tc>
          <w:tcPr>
            <w:tcW w:w="810" w:type="dxa"/>
          </w:tcPr>
          <w:p w14:paraId="6E5F2A29" w14:textId="531FFB6B" w:rsidR="007E1B0B" w:rsidRPr="000D3717" w:rsidRDefault="007E1B0B" w:rsidP="00853321">
            <w:pPr>
              <w:rPr>
                <w:rFonts w:ascii="Times New Roman" w:hAnsi="Times New Roman" w:cs="Times New Roman"/>
                <w:sz w:val="24"/>
                <w:szCs w:val="24"/>
              </w:rPr>
            </w:pPr>
            <w:r w:rsidRPr="00001D1B">
              <w:rPr>
                <w:rFonts w:ascii="Times New Roman" w:hAnsi="Times New Roman" w:cs="Times New Roman"/>
                <w:sz w:val="24"/>
                <w:szCs w:val="24"/>
              </w:rPr>
              <w:t>x</w:t>
            </w:r>
          </w:p>
        </w:tc>
        <w:tc>
          <w:tcPr>
            <w:tcW w:w="2430" w:type="dxa"/>
          </w:tcPr>
          <w:p w14:paraId="53E14BBF"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0523CB1D" w14:textId="77777777" w:rsidR="007E1B0B"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Ulët</w:t>
            </w:r>
          </w:p>
        </w:tc>
        <w:tc>
          <w:tcPr>
            <w:tcW w:w="2496" w:type="dxa"/>
          </w:tcPr>
          <w:p w14:paraId="4933BA27" w14:textId="77777777" w:rsidR="007E1B0B" w:rsidRPr="000D3717" w:rsidRDefault="007E1B0B" w:rsidP="00853321">
            <w:pPr>
              <w:rPr>
                <w:rFonts w:ascii="Times New Roman" w:hAnsi="Times New Roman" w:cs="Times New Roman"/>
                <w:sz w:val="24"/>
                <w:szCs w:val="24"/>
              </w:rPr>
            </w:pPr>
            <w:r>
              <w:rPr>
                <w:rFonts w:ascii="Times New Roman" w:hAnsi="Times New Roman" w:cs="Times New Roman"/>
                <w:sz w:val="24"/>
                <w:szCs w:val="24"/>
              </w:rPr>
              <w:t xml:space="preserve">Aktualisht, rritja ekonomike për periudhën e ardhshme është diku rreth 5%.  Ndikimi shfaqet në rritjen </w:t>
            </w:r>
            <w:proofErr w:type="spellStart"/>
            <w:r w:rsidRPr="00341D3A">
              <w:rPr>
                <w:rFonts w:ascii="Times New Roman" w:hAnsi="Times New Roman" w:cs="Times New Roman"/>
                <w:b/>
                <w:sz w:val="24"/>
                <w:szCs w:val="24"/>
              </w:rPr>
              <w:t>inkrementale</w:t>
            </w:r>
            <w:proofErr w:type="spellEnd"/>
            <w:r>
              <w:rPr>
                <w:rFonts w:ascii="Times New Roman" w:hAnsi="Times New Roman" w:cs="Times New Roman"/>
                <w:sz w:val="24"/>
                <w:szCs w:val="24"/>
              </w:rPr>
              <w:t xml:space="preserve"> e cila mund të shfaqet në </w:t>
            </w:r>
          </w:p>
        </w:tc>
      </w:tr>
      <w:tr w:rsidR="007E1B0B" w:rsidRPr="000D3717" w14:paraId="4F24862C" w14:textId="77777777" w:rsidTr="00D0483F">
        <w:trPr>
          <w:gridAfter w:val="1"/>
          <w:wAfter w:w="114" w:type="dxa"/>
        </w:trPr>
        <w:tc>
          <w:tcPr>
            <w:tcW w:w="1710" w:type="dxa"/>
            <w:vMerge/>
          </w:tcPr>
          <w:p w14:paraId="26BA17D5" w14:textId="77777777" w:rsidR="007E1B0B" w:rsidRPr="000D3717" w:rsidRDefault="007E1B0B" w:rsidP="00853321">
            <w:pPr>
              <w:rPr>
                <w:rFonts w:ascii="Times New Roman" w:hAnsi="Times New Roman" w:cs="Times New Roman"/>
                <w:sz w:val="24"/>
                <w:szCs w:val="24"/>
              </w:rPr>
            </w:pPr>
          </w:p>
        </w:tc>
        <w:tc>
          <w:tcPr>
            <w:tcW w:w="4050" w:type="dxa"/>
          </w:tcPr>
          <w:p w14:paraId="4C310D09" w14:textId="77777777" w:rsidR="007E1B0B" w:rsidRPr="000D3717" w:rsidRDefault="007E1B0B" w:rsidP="00853321">
            <w:pPr>
              <w:rPr>
                <w:rFonts w:ascii="Times New Roman" w:hAnsi="Times New Roman" w:cs="Times New Roman"/>
                <w:sz w:val="24"/>
                <w:szCs w:val="24"/>
              </w:rPr>
            </w:pPr>
            <w:r w:rsidRPr="000D3717">
              <w:rPr>
                <w:rFonts w:ascii="Times New Roman" w:hAnsi="Times New Roman" w:cs="Times New Roman"/>
                <w:sz w:val="24"/>
                <w:szCs w:val="24"/>
              </w:rPr>
              <w:t>A mund të ketë ndonjë efekt në normën e inflacionit?</w:t>
            </w:r>
          </w:p>
        </w:tc>
        <w:tc>
          <w:tcPr>
            <w:tcW w:w="810" w:type="dxa"/>
          </w:tcPr>
          <w:p w14:paraId="10CDF720" w14:textId="77777777" w:rsidR="007E1B0B" w:rsidRPr="000D3717" w:rsidRDefault="007E1B0B" w:rsidP="00853321">
            <w:pPr>
              <w:rPr>
                <w:rFonts w:ascii="Times New Roman" w:hAnsi="Times New Roman" w:cs="Times New Roman"/>
                <w:sz w:val="24"/>
                <w:szCs w:val="24"/>
              </w:rPr>
            </w:pPr>
          </w:p>
        </w:tc>
        <w:tc>
          <w:tcPr>
            <w:tcW w:w="810" w:type="dxa"/>
          </w:tcPr>
          <w:p w14:paraId="488E4CD5" w14:textId="62303536" w:rsidR="007E1B0B" w:rsidRPr="000D3717" w:rsidRDefault="007E1B0B" w:rsidP="00853321">
            <w:pPr>
              <w:rPr>
                <w:rFonts w:ascii="Times New Roman" w:hAnsi="Times New Roman" w:cs="Times New Roman"/>
                <w:sz w:val="24"/>
                <w:szCs w:val="24"/>
              </w:rPr>
            </w:pPr>
            <w:r w:rsidRPr="00001D1B">
              <w:rPr>
                <w:rFonts w:ascii="Times New Roman" w:hAnsi="Times New Roman" w:cs="Times New Roman"/>
                <w:sz w:val="24"/>
                <w:szCs w:val="24"/>
              </w:rPr>
              <w:t>x</w:t>
            </w:r>
          </w:p>
        </w:tc>
        <w:tc>
          <w:tcPr>
            <w:tcW w:w="2430" w:type="dxa"/>
          </w:tcPr>
          <w:p w14:paraId="162668CA" w14:textId="77777777" w:rsidR="007E1B0B" w:rsidRPr="000D3717" w:rsidRDefault="007E1B0B" w:rsidP="00853321">
            <w:pPr>
              <w:rPr>
                <w:rFonts w:ascii="Times New Roman" w:hAnsi="Times New Roman" w:cs="Times New Roman"/>
                <w:sz w:val="24"/>
                <w:szCs w:val="24"/>
              </w:rPr>
            </w:pPr>
          </w:p>
        </w:tc>
        <w:tc>
          <w:tcPr>
            <w:tcW w:w="1620" w:type="dxa"/>
          </w:tcPr>
          <w:p w14:paraId="5A8EC5F4" w14:textId="77777777" w:rsidR="007E1B0B" w:rsidRPr="000D3717" w:rsidRDefault="007E1B0B" w:rsidP="00853321">
            <w:pPr>
              <w:rPr>
                <w:rFonts w:ascii="Times New Roman" w:hAnsi="Times New Roman" w:cs="Times New Roman"/>
                <w:sz w:val="24"/>
                <w:szCs w:val="24"/>
              </w:rPr>
            </w:pPr>
          </w:p>
        </w:tc>
        <w:tc>
          <w:tcPr>
            <w:tcW w:w="2496" w:type="dxa"/>
          </w:tcPr>
          <w:p w14:paraId="324D00CD" w14:textId="77777777" w:rsidR="007E1B0B" w:rsidRPr="000D3717" w:rsidRDefault="007E1B0B" w:rsidP="00853321">
            <w:pPr>
              <w:rPr>
                <w:rFonts w:ascii="Times New Roman" w:hAnsi="Times New Roman" w:cs="Times New Roman"/>
                <w:sz w:val="24"/>
                <w:szCs w:val="24"/>
              </w:rPr>
            </w:pPr>
          </w:p>
        </w:tc>
      </w:tr>
      <w:tr w:rsidR="00DF2517" w:rsidRPr="000D3717" w14:paraId="192B7081" w14:textId="77777777" w:rsidTr="00494035">
        <w:tc>
          <w:tcPr>
            <w:tcW w:w="1710" w:type="dxa"/>
            <w:vMerge w:val="restart"/>
          </w:tcPr>
          <w:p w14:paraId="473C2DAF" w14:textId="77777777" w:rsidR="00DF2517" w:rsidRPr="000D3717" w:rsidRDefault="0064622A" w:rsidP="00674773">
            <w:pPr>
              <w:rPr>
                <w:rFonts w:ascii="Times New Roman" w:hAnsi="Times New Roman" w:cs="Times New Roman"/>
                <w:b/>
                <w:sz w:val="24"/>
                <w:szCs w:val="24"/>
              </w:rPr>
            </w:pPr>
            <w:r w:rsidRPr="000D3717">
              <w:rPr>
                <w:rFonts w:ascii="Times New Roman" w:hAnsi="Times New Roman" w:cs="Times New Roman"/>
                <w:b/>
                <w:sz w:val="24"/>
                <w:szCs w:val="24"/>
              </w:rPr>
              <w:t>Kategoria e ndikim</w:t>
            </w:r>
            <w:r w:rsidR="00674773" w:rsidRPr="000D3717">
              <w:rPr>
                <w:rFonts w:ascii="Times New Roman" w:hAnsi="Times New Roman" w:cs="Times New Roman"/>
                <w:b/>
                <w:sz w:val="24"/>
                <w:szCs w:val="24"/>
              </w:rPr>
              <w:t xml:space="preserve">eve </w:t>
            </w:r>
            <w:r w:rsidRPr="000D3717">
              <w:rPr>
                <w:rFonts w:ascii="Times New Roman" w:hAnsi="Times New Roman" w:cs="Times New Roman"/>
                <w:b/>
                <w:sz w:val="24"/>
                <w:szCs w:val="24"/>
              </w:rPr>
              <w:t>ekonomik</w:t>
            </w:r>
            <w:r w:rsidR="00674773" w:rsidRPr="000D3717">
              <w:rPr>
                <w:rFonts w:ascii="Times New Roman" w:hAnsi="Times New Roman" w:cs="Times New Roman"/>
                <w:b/>
                <w:sz w:val="24"/>
                <w:szCs w:val="24"/>
              </w:rPr>
              <w:t>e</w:t>
            </w:r>
          </w:p>
        </w:tc>
        <w:tc>
          <w:tcPr>
            <w:tcW w:w="4050" w:type="dxa"/>
            <w:vMerge w:val="restart"/>
          </w:tcPr>
          <w:p w14:paraId="6AB17B66" w14:textId="77777777" w:rsidR="00DF2517" w:rsidRPr="000D3717" w:rsidRDefault="0064622A" w:rsidP="0064622A">
            <w:pPr>
              <w:rPr>
                <w:rFonts w:ascii="Times New Roman" w:hAnsi="Times New Roman" w:cs="Times New Roman"/>
                <w:b/>
                <w:sz w:val="24"/>
                <w:szCs w:val="24"/>
              </w:rPr>
            </w:pPr>
            <w:r w:rsidRPr="000D3717">
              <w:rPr>
                <w:rFonts w:ascii="Times New Roman" w:hAnsi="Times New Roman" w:cs="Times New Roman"/>
                <w:b/>
                <w:sz w:val="24"/>
                <w:szCs w:val="24"/>
              </w:rPr>
              <w:t>Ndikimi kryesor</w:t>
            </w:r>
          </w:p>
        </w:tc>
        <w:tc>
          <w:tcPr>
            <w:tcW w:w="1620" w:type="dxa"/>
            <w:gridSpan w:val="2"/>
          </w:tcPr>
          <w:p w14:paraId="35D7D651" w14:textId="77777777" w:rsidR="00DF2517" w:rsidRPr="000D3717" w:rsidRDefault="00CA3BF1" w:rsidP="00CA3BF1">
            <w:pPr>
              <w:rPr>
                <w:rFonts w:ascii="Times New Roman" w:hAnsi="Times New Roman" w:cs="Times New Roman"/>
                <w:b/>
                <w:sz w:val="24"/>
                <w:szCs w:val="24"/>
              </w:rPr>
            </w:pPr>
            <w:r w:rsidRPr="000D3717">
              <w:rPr>
                <w:rFonts w:ascii="Times New Roman" w:hAnsi="Times New Roman" w:cs="Times New Roman"/>
                <w:b/>
                <w:sz w:val="24"/>
                <w:szCs w:val="24"/>
              </w:rPr>
              <w:t>A pritet të ndodhë ky ndikim</w:t>
            </w:r>
            <w:r w:rsidR="00DF2517" w:rsidRPr="000D3717">
              <w:rPr>
                <w:rFonts w:ascii="Times New Roman" w:hAnsi="Times New Roman" w:cs="Times New Roman"/>
                <w:b/>
                <w:sz w:val="24"/>
                <w:szCs w:val="24"/>
              </w:rPr>
              <w:t>?</w:t>
            </w:r>
          </w:p>
        </w:tc>
        <w:tc>
          <w:tcPr>
            <w:tcW w:w="2430" w:type="dxa"/>
          </w:tcPr>
          <w:p w14:paraId="3445A83C" w14:textId="77777777" w:rsidR="00DF2517" w:rsidRPr="000D3717" w:rsidRDefault="00C13D3C" w:rsidP="008D7069">
            <w:pPr>
              <w:rPr>
                <w:rFonts w:ascii="Times New Roman" w:hAnsi="Times New Roman" w:cs="Times New Roman"/>
                <w:b/>
                <w:sz w:val="24"/>
                <w:szCs w:val="24"/>
              </w:rPr>
            </w:pPr>
            <w:r w:rsidRPr="000D3717">
              <w:rPr>
                <w:rFonts w:ascii="Times New Roman" w:hAnsi="Times New Roman" w:cs="Times New Roman"/>
                <w:b/>
                <w:sz w:val="24"/>
                <w:szCs w:val="24"/>
              </w:rPr>
              <w:t>Numri i organizatave, kompanive dhe/ose individëve të prekur</w:t>
            </w:r>
          </w:p>
        </w:tc>
        <w:tc>
          <w:tcPr>
            <w:tcW w:w="1620" w:type="dxa"/>
          </w:tcPr>
          <w:p w14:paraId="6F53D239" w14:textId="77777777" w:rsidR="00DF2517" w:rsidRPr="000D3717" w:rsidRDefault="00C13D3C" w:rsidP="008D7069">
            <w:pPr>
              <w:rPr>
                <w:rFonts w:ascii="Times New Roman" w:hAnsi="Times New Roman" w:cs="Times New Roman"/>
                <w:b/>
                <w:sz w:val="24"/>
                <w:szCs w:val="24"/>
              </w:rPr>
            </w:pPr>
            <w:r w:rsidRPr="000D3717">
              <w:rPr>
                <w:rFonts w:ascii="Times New Roman" w:hAnsi="Times New Roman" w:cs="Times New Roman"/>
                <w:b/>
                <w:sz w:val="24"/>
                <w:szCs w:val="24"/>
              </w:rPr>
              <w:t>Përfitimi i pritshëm ose kostoja e ndikimit</w:t>
            </w:r>
          </w:p>
        </w:tc>
        <w:tc>
          <w:tcPr>
            <w:tcW w:w="2610" w:type="dxa"/>
            <w:gridSpan w:val="2"/>
          </w:tcPr>
          <w:p w14:paraId="7DB4B908" w14:textId="77777777" w:rsidR="00DF2517" w:rsidRPr="000D3717" w:rsidRDefault="00C13D3C" w:rsidP="008D7069">
            <w:pPr>
              <w:rPr>
                <w:rFonts w:ascii="Times New Roman" w:hAnsi="Times New Roman" w:cs="Times New Roman"/>
                <w:b/>
                <w:sz w:val="24"/>
                <w:szCs w:val="24"/>
              </w:rPr>
            </w:pPr>
            <w:r w:rsidRPr="000D3717">
              <w:rPr>
                <w:rFonts w:ascii="Times New Roman" w:hAnsi="Times New Roman" w:cs="Times New Roman"/>
                <w:b/>
                <w:sz w:val="24"/>
                <w:szCs w:val="24"/>
              </w:rPr>
              <w:t>Niveli i preferuar i analizës</w:t>
            </w:r>
          </w:p>
        </w:tc>
      </w:tr>
      <w:tr w:rsidR="00DF2517" w:rsidRPr="000D3717" w14:paraId="6B9F1463" w14:textId="77777777" w:rsidTr="00494035">
        <w:tc>
          <w:tcPr>
            <w:tcW w:w="1710" w:type="dxa"/>
            <w:vMerge/>
          </w:tcPr>
          <w:p w14:paraId="3287BD6F" w14:textId="77777777" w:rsidR="00DF2517" w:rsidRPr="000D3717" w:rsidRDefault="00DF2517" w:rsidP="008D7069">
            <w:pPr>
              <w:rPr>
                <w:rFonts w:ascii="Times New Roman" w:hAnsi="Times New Roman" w:cs="Times New Roman"/>
                <w:b/>
                <w:sz w:val="24"/>
                <w:szCs w:val="24"/>
              </w:rPr>
            </w:pPr>
          </w:p>
        </w:tc>
        <w:tc>
          <w:tcPr>
            <w:tcW w:w="4050" w:type="dxa"/>
            <w:vMerge/>
          </w:tcPr>
          <w:p w14:paraId="1C7B2A7C" w14:textId="77777777" w:rsidR="00DF2517" w:rsidRPr="000D3717" w:rsidRDefault="00DF2517" w:rsidP="008D7069">
            <w:pPr>
              <w:rPr>
                <w:rFonts w:ascii="Times New Roman" w:hAnsi="Times New Roman" w:cs="Times New Roman"/>
                <w:b/>
                <w:sz w:val="24"/>
                <w:szCs w:val="24"/>
              </w:rPr>
            </w:pPr>
          </w:p>
        </w:tc>
        <w:tc>
          <w:tcPr>
            <w:tcW w:w="810" w:type="dxa"/>
          </w:tcPr>
          <w:p w14:paraId="3C19A4C0" w14:textId="77777777" w:rsidR="00DF2517" w:rsidRPr="000D3717" w:rsidRDefault="00CA3BF1" w:rsidP="008D7069">
            <w:pPr>
              <w:rPr>
                <w:rFonts w:ascii="Times New Roman" w:hAnsi="Times New Roman" w:cs="Times New Roman"/>
                <w:b/>
                <w:sz w:val="24"/>
                <w:szCs w:val="24"/>
              </w:rPr>
            </w:pPr>
            <w:r w:rsidRPr="000D3717">
              <w:rPr>
                <w:rFonts w:ascii="Times New Roman" w:hAnsi="Times New Roman" w:cs="Times New Roman"/>
                <w:b/>
                <w:sz w:val="24"/>
                <w:szCs w:val="24"/>
              </w:rPr>
              <w:t>Po</w:t>
            </w:r>
          </w:p>
        </w:tc>
        <w:tc>
          <w:tcPr>
            <w:tcW w:w="810" w:type="dxa"/>
          </w:tcPr>
          <w:p w14:paraId="3ED21B16" w14:textId="77777777" w:rsidR="00DF2517" w:rsidRPr="000D3717" w:rsidRDefault="00CA3BF1" w:rsidP="008D7069">
            <w:pPr>
              <w:rPr>
                <w:rFonts w:ascii="Times New Roman" w:hAnsi="Times New Roman" w:cs="Times New Roman"/>
                <w:b/>
                <w:sz w:val="24"/>
                <w:szCs w:val="24"/>
              </w:rPr>
            </w:pPr>
            <w:r w:rsidRPr="000D3717">
              <w:rPr>
                <w:rFonts w:ascii="Times New Roman" w:hAnsi="Times New Roman" w:cs="Times New Roman"/>
                <w:b/>
                <w:sz w:val="24"/>
                <w:szCs w:val="24"/>
              </w:rPr>
              <w:t>J</w:t>
            </w:r>
            <w:r w:rsidR="00DF2517" w:rsidRPr="000D3717">
              <w:rPr>
                <w:rFonts w:ascii="Times New Roman" w:hAnsi="Times New Roman" w:cs="Times New Roman"/>
                <w:b/>
                <w:sz w:val="24"/>
                <w:szCs w:val="24"/>
              </w:rPr>
              <w:t>o</w:t>
            </w:r>
          </w:p>
        </w:tc>
        <w:tc>
          <w:tcPr>
            <w:tcW w:w="2430" w:type="dxa"/>
          </w:tcPr>
          <w:p w14:paraId="1D6603D2" w14:textId="77777777" w:rsidR="00DF2517" w:rsidRPr="000D3717" w:rsidRDefault="00C13D3C" w:rsidP="008D7069">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1620" w:type="dxa"/>
          </w:tcPr>
          <w:p w14:paraId="6DAD472F" w14:textId="77777777" w:rsidR="00DF2517" w:rsidRPr="000D3717" w:rsidRDefault="00C13D3C" w:rsidP="008D7069">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2610" w:type="dxa"/>
            <w:gridSpan w:val="2"/>
          </w:tcPr>
          <w:p w14:paraId="2B90C33F" w14:textId="77777777" w:rsidR="00DF2517" w:rsidRPr="000D3717" w:rsidRDefault="00DF2517" w:rsidP="008D7069">
            <w:pPr>
              <w:rPr>
                <w:rFonts w:ascii="Times New Roman" w:hAnsi="Times New Roman" w:cs="Times New Roman"/>
                <w:b/>
                <w:sz w:val="24"/>
                <w:szCs w:val="24"/>
              </w:rPr>
            </w:pPr>
          </w:p>
        </w:tc>
      </w:tr>
      <w:tr w:rsidR="00674773" w:rsidRPr="000D3717" w14:paraId="2F7A8B5F" w14:textId="77777777" w:rsidTr="00494035">
        <w:tc>
          <w:tcPr>
            <w:tcW w:w="1710" w:type="dxa"/>
            <w:vMerge w:val="restart"/>
          </w:tcPr>
          <w:p w14:paraId="50DE0543" w14:textId="77777777" w:rsidR="00674773" w:rsidRPr="000D3717" w:rsidRDefault="00674773" w:rsidP="008D7069">
            <w:pPr>
              <w:rPr>
                <w:rFonts w:ascii="Times New Roman" w:hAnsi="Times New Roman" w:cs="Times New Roman"/>
                <w:sz w:val="24"/>
                <w:szCs w:val="24"/>
              </w:rPr>
            </w:pPr>
            <w:r w:rsidRPr="000D3717">
              <w:rPr>
                <w:rFonts w:ascii="Times New Roman" w:hAnsi="Times New Roman" w:cs="Times New Roman"/>
                <w:sz w:val="24"/>
                <w:szCs w:val="24"/>
              </w:rPr>
              <w:t>Vendet e punës</w:t>
            </w:r>
            <w:r w:rsidRPr="000D3717">
              <w:rPr>
                <w:rStyle w:val="FootnoteReference"/>
                <w:rFonts w:ascii="Times New Roman" w:hAnsi="Times New Roman" w:cs="Times New Roman"/>
                <w:sz w:val="24"/>
                <w:szCs w:val="24"/>
              </w:rPr>
              <w:footnoteReference w:id="23"/>
            </w:r>
          </w:p>
        </w:tc>
        <w:tc>
          <w:tcPr>
            <w:tcW w:w="4050" w:type="dxa"/>
          </w:tcPr>
          <w:p w14:paraId="707CB95F" w14:textId="77777777" w:rsidR="00674773" w:rsidRPr="000D3717" w:rsidRDefault="00674773"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rritet numri aktual i vendeve të punës</w:t>
            </w:r>
            <w:r w:rsidR="00B90070" w:rsidRPr="000D3717">
              <w:rPr>
                <w:rFonts w:ascii="Times New Roman" w:hAnsi="Times New Roman" w:cs="Times New Roman"/>
                <w:sz w:val="24"/>
                <w:szCs w:val="24"/>
              </w:rPr>
              <w:t xml:space="preserve"> n</w:t>
            </w:r>
            <w:r w:rsidR="00384463">
              <w:rPr>
                <w:rFonts w:ascii="Times New Roman" w:hAnsi="Times New Roman" w:cs="Times New Roman"/>
                <w:sz w:val="24"/>
                <w:szCs w:val="24"/>
              </w:rPr>
              <w:t>ë</w:t>
            </w:r>
            <w:r w:rsidR="00B90070" w:rsidRPr="000D3717">
              <w:rPr>
                <w:rFonts w:ascii="Times New Roman" w:hAnsi="Times New Roman" w:cs="Times New Roman"/>
                <w:sz w:val="24"/>
                <w:szCs w:val="24"/>
              </w:rPr>
              <w:t xml:space="preserve"> treg</w:t>
            </w:r>
            <w:r w:rsidRPr="000D3717">
              <w:rPr>
                <w:rFonts w:ascii="Times New Roman" w:hAnsi="Times New Roman" w:cs="Times New Roman"/>
                <w:sz w:val="24"/>
                <w:szCs w:val="24"/>
              </w:rPr>
              <w:t>?</w:t>
            </w:r>
          </w:p>
        </w:tc>
        <w:tc>
          <w:tcPr>
            <w:tcW w:w="810" w:type="dxa"/>
          </w:tcPr>
          <w:p w14:paraId="7BE07023" w14:textId="4B1AFA67" w:rsidR="00674773"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6C3AEE04" w14:textId="77777777" w:rsidR="00674773" w:rsidRPr="000D3717" w:rsidRDefault="00674773" w:rsidP="008D7069">
            <w:pPr>
              <w:rPr>
                <w:rFonts w:ascii="Times New Roman" w:hAnsi="Times New Roman" w:cs="Times New Roman"/>
                <w:sz w:val="24"/>
                <w:szCs w:val="24"/>
              </w:rPr>
            </w:pPr>
          </w:p>
        </w:tc>
        <w:tc>
          <w:tcPr>
            <w:tcW w:w="2430" w:type="dxa"/>
          </w:tcPr>
          <w:p w14:paraId="2BCA00AC" w14:textId="77777777" w:rsidR="00674773" w:rsidRPr="000D3717" w:rsidRDefault="002F22E0"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7F888BA4" w14:textId="77777777" w:rsidR="00674773" w:rsidRPr="000D3717" w:rsidRDefault="00674773" w:rsidP="008D7069">
            <w:pPr>
              <w:rPr>
                <w:rFonts w:ascii="Times New Roman" w:hAnsi="Times New Roman" w:cs="Times New Roman"/>
                <w:sz w:val="24"/>
                <w:szCs w:val="24"/>
              </w:rPr>
            </w:pPr>
          </w:p>
        </w:tc>
        <w:tc>
          <w:tcPr>
            <w:tcW w:w="2610" w:type="dxa"/>
            <w:gridSpan w:val="2"/>
          </w:tcPr>
          <w:p w14:paraId="34620585" w14:textId="77777777" w:rsidR="00674773" w:rsidRPr="000D3717" w:rsidRDefault="00674773" w:rsidP="008D7069">
            <w:pPr>
              <w:rPr>
                <w:rFonts w:ascii="Times New Roman" w:hAnsi="Times New Roman" w:cs="Times New Roman"/>
                <w:sz w:val="24"/>
                <w:szCs w:val="24"/>
              </w:rPr>
            </w:pPr>
          </w:p>
        </w:tc>
      </w:tr>
      <w:tr w:rsidR="00674773" w:rsidRPr="000D3717" w14:paraId="2C0E7F90" w14:textId="77777777" w:rsidTr="00494035">
        <w:tc>
          <w:tcPr>
            <w:tcW w:w="1710" w:type="dxa"/>
            <w:vMerge/>
          </w:tcPr>
          <w:p w14:paraId="0B417D01" w14:textId="77777777" w:rsidR="00674773" w:rsidRPr="000D3717" w:rsidRDefault="00674773" w:rsidP="008D7069">
            <w:pPr>
              <w:rPr>
                <w:rFonts w:ascii="Times New Roman" w:hAnsi="Times New Roman" w:cs="Times New Roman"/>
                <w:sz w:val="24"/>
                <w:szCs w:val="24"/>
              </w:rPr>
            </w:pPr>
          </w:p>
        </w:tc>
        <w:tc>
          <w:tcPr>
            <w:tcW w:w="4050" w:type="dxa"/>
          </w:tcPr>
          <w:p w14:paraId="6A653965" w14:textId="77777777" w:rsidR="00674773" w:rsidRPr="000D3717" w:rsidRDefault="00674773"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zvogëlohet numri aktual i vendeve të punës?</w:t>
            </w:r>
          </w:p>
        </w:tc>
        <w:tc>
          <w:tcPr>
            <w:tcW w:w="810" w:type="dxa"/>
          </w:tcPr>
          <w:p w14:paraId="4857D412" w14:textId="77777777" w:rsidR="00674773" w:rsidRPr="000D3717" w:rsidRDefault="00674773" w:rsidP="008D7069">
            <w:pPr>
              <w:rPr>
                <w:rFonts w:ascii="Times New Roman" w:hAnsi="Times New Roman" w:cs="Times New Roman"/>
                <w:sz w:val="24"/>
                <w:szCs w:val="24"/>
              </w:rPr>
            </w:pPr>
          </w:p>
        </w:tc>
        <w:tc>
          <w:tcPr>
            <w:tcW w:w="810" w:type="dxa"/>
          </w:tcPr>
          <w:p w14:paraId="6C6FA475" w14:textId="11A2B141" w:rsidR="00674773"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12050841" w14:textId="77777777" w:rsidR="00674773" w:rsidRPr="000D3717" w:rsidRDefault="00674773" w:rsidP="008D7069">
            <w:pPr>
              <w:rPr>
                <w:rFonts w:ascii="Times New Roman" w:hAnsi="Times New Roman" w:cs="Times New Roman"/>
                <w:sz w:val="24"/>
                <w:szCs w:val="24"/>
              </w:rPr>
            </w:pPr>
          </w:p>
        </w:tc>
        <w:tc>
          <w:tcPr>
            <w:tcW w:w="1620" w:type="dxa"/>
          </w:tcPr>
          <w:p w14:paraId="661A60E1" w14:textId="77777777" w:rsidR="00674773" w:rsidRPr="000D3717" w:rsidRDefault="00674773" w:rsidP="008D7069">
            <w:pPr>
              <w:rPr>
                <w:rFonts w:ascii="Times New Roman" w:hAnsi="Times New Roman" w:cs="Times New Roman"/>
                <w:sz w:val="24"/>
                <w:szCs w:val="24"/>
              </w:rPr>
            </w:pPr>
          </w:p>
        </w:tc>
        <w:tc>
          <w:tcPr>
            <w:tcW w:w="2610" w:type="dxa"/>
            <w:gridSpan w:val="2"/>
          </w:tcPr>
          <w:p w14:paraId="1D038B94" w14:textId="77777777" w:rsidR="00674773" w:rsidRPr="000D3717" w:rsidRDefault="00674773" w:rsidP="008D7069">
            <w:pPr>
              <w:rPr>
                <w:rFonts w:ascii="Times New Roman" w:hAnsi="Times New Roman" w:cs="Times New Roman"/>
                <w:sz w:val="24"/>
                <w:szCs w:val="24"/>
              </w:rPr>
            </w:pPr>
          </w:p>
        </w:tc>
      </w:tr>
      <w:tr w:rsidR="007E1B0B" w:rsidRPr="000D3717" w14:paraId="0386D2EA" w14:textId="77777777" w:rsidTr="00494035">
        <w:tc>
          <w:tcPr>
            <w:tcW w:w="1710" w:type="dxa"/>
            <w:vMerge/>
          </w:tcPr>
          <w:p w14:paraId="43408623" w14:textId="77777777" w:rsidR="007E1B0B" w:rsidRPr="000D3717" w:rsidRDefault="007E1B0B" w:rsidP="008D7069">
            <w:pPr>
              <w:rPr>
                <w:rFonts w:ascii="Times New Roman" w:hAnsi="Times New Roman" w:cs="Times New Roman"/>
                <w:sz w:val="24"/>
                <w:szCs w:val="24"/>
              </w:rPr>
            </w:pPr>
          </w:p>
        </w:tc>
        <w:tc>
          <w:tcPr>
            <w:tcW w:w="4050" w:type="dxa"/>
          </w:tcPr>
          <w:p w14:paraId="1D66C9DA"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ndikojë në nivelin e pagesës?</w:t>
            </w:r>
          </w:p>
        </w:tc>
        <w:tc>
          <w:tcPr>
            <w:tcW w:w="810" w:type="dxa"/>
          </w:tcPr>
          <w:p w14:paraId="0B5A8192" w14:textId="340879AB" w:rsidR="007E1B0B" w:rsidRPr="000D3717" w:rsidRDefault="007E1B0B" w:rsidP="008D7069">
            <w:pPr>
              <w:rPr>
                <w:rFonts w:ascii="Times New Roman" w:hAnsi="Times New Roman" w:cs="Times New Roman"/>
                <w:sz w:val="24"/>
                <w:szCs w:val="24"/>
              </w:rPr>
            </w:pPr>
            <w:r w:rsidRPr="00F457E1">
              <w:rPr>
                <w:rFonts w:ascii="Times New Roman" w:hAnsi="Times New Roman" w:cs="Times New Roman"/>
                <w:sz w:val="24"/>
                <w:szCs w:val="24"/>
              </w:rPr>
              <w:t>x</w:t>
            </w:r>
          </w:p>
        </w:tc>
        <w:tc>
          <w:tcPr>
            <w:tcW w:w="810" w:type="dxa"/>
          </w:tcPr>
          <w:p w14:paraId="2A297B8F" w14:textId="77777777" w:rsidR="007E1B0B" w:rsidRPr="000D3717" w:rsidRDefault="007E1B0B" w:rsidP="008D7069">
            <w:pPr>
              <w:rPr>
                <w:rFonts w:ascii="Times New Roman" w:hAnsi="Times New Roman" w:cs="Times New Roman"/>
                <w:sz w:val="24"/>
                <w:szCs w:val="24"/>
              </w:rPr>
            </w:pPr>
          </w:p>
        </w:tc>
        <w:tc>
          <w:tcPr>
            <w:tcW w:w="2430" w:type="dxa"/>
          </w:tcPr>
          <w:p w14:paraId="1475D54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07848EDE" w14:textId="77777777" w:rsidR="007E1B0B" w:rsidRPr="000D3717" w:rsidRDefault="007E1B0B" w:rsidP="008D7069">
            <w:pPr>
              <w:rPr>
                <w:rFonts w:ascii="Times New Roman" w:hAnsi="Times New Roman" w:cs="Times New Roman"/>
                <w:sz w:val="24"/>
                <w:szCs w:val="24"/>
              </w:rPr>
            </w:pPr>
          </w:p>
        </w:tc>
        <w:tc>
          <w:tcPr>
            <w:tcW w:w="2610" w:type="dxa"/>
            <w:gridSpan w:val="2"/>
          </w:tcPr>
          <w:p w14:paraId="03698E5A" w14:textId="77777777" w:rsidR="007E1B0B" w:rsidRPr="000D3717" w:rsidRDefault="007E1B0B" w:rsidP="008D7069">
            <w:pPr>
              <w:rPr>
                <w:rFonts w:ascii="Times New Roman" w:hAnsi="Times New Roman" w:cs="Times New Roman"/>
                <w:sz w:val="24"/>
                <w:szCs w:val="24"/>
              </w:rPr>
            </w:pPr>
          </w:p>
        </w:tc>
      </w:tr>
      <w:tr w:rsidR="007E1B0B" w:rsidRPr="000D3717" w14:paraId="43FF1FBA" w14:textId="77777777" w:rsidTr="00494035">
        <w:tc>
          <w:tcPr>
            <w:tcW w:w="1710" w:type="dxa"/>
            <w:vMerge/>
          </w:tcPr>
          <w:p w14:paraId="665601AB" w14:textId="77777777" w:rsidR="007E1B0B" w:rsidRPr="000D3717" w:rsidRDefault="007E1B0B" w:rsidP="008D7069">
            <w:pPr>
              <w:rPr>
                <w:rFonts w:ascii="Times New Roman" w:hAnsi="Times New Roman" w:cs="Times New Roman"/>
                <w:sz w:val="24"/>
                <w:szCs w:val="24"/>
              </w:rPr>
            </w:pPr>
          </w:p>
        </w:tc>
        <w:tc>
          <w:tcPr>
            <w:tcW w:w="4050" w:type="dxa"/>
          </w:tcPr>
          <w:p w14:paraId="0C8AF2D6"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ndikojë në lehtësimin e gjetjes së një vendi të punës?</w:t>
            </w:r>
          </w:p>
        </w:tc>
        <w:tc>
          <w:tcPr>
            <w:tcW w:w="810" w:type="dxa"/>
          </w:tcPr>
          <w:p w14:paraId="4992BCEE" w14:textId="1145E33B" w:rsidR="007E1B0B" w:rsidRPr="000D3717" w:rsidRDefault="007E1B0B" w:rsidP="008D7069">
            <w:pPr>
              <w:rPr>
                <w:rFonts w:ascii="Times New Roman" w:hAnsi="Times New Roman" w:cs="Times New Roman"/>
                <w:sz w:val="24"/>
                <w:szCs w:val="24"/>
              </w:rPr>
            </w:pPr>
            <w:r w:rsidRPr="00F457E1">
              <w:rPr>
                <w:rFonts w:ascii="Times New Roman" w:hAnsi="Times New Roman" w:cs="Times New Roman"/>
                <w:sz w:val="24"/>
                <w:szCs w:val="24"/>
              </w:rPr>
              <w:t>x</w:t>
            </w:r>
          </w:p>
        </w:tc>
        <w:tc>
          <w:tcPr>
            <w:tcW w:w="810" w:type="dxa"/>
          </w:tcPr>
          <w:p w14:paraId="1D66D15A" w14:textId="77777777" w:rsidR="007E1B0B" w:rsidRPr="000D3717" w:rsidRDefault="007E1B0B" w:rsidP="008D7069">
            <w:pPr>
              <w:rPr>
                <w:rFonts w:ascii="Times New Roman" w:hAnsi="Times New Roman" w:cs="Times New Roman"/>
                <w:sz w:val="24"/>
                <w:szCs w:val="24"/>
              </w:rPr>
            </w:pPr>
          </w:p>
        </w:tc>
        <w:tc>
          <w:tcPr>
            <w:tcW w:w="2430" w:type="dxa"/>
          </w:tcPr>
          <w:p w14:paraId="0C7A29D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45A3BCCD" w14:textId="77777777" w:rsidR="007E1B0B" w:rsidRPr="000D3717" w:rsidRDefault="007E1B0B" w:rsidP="008D7069">
            <w:pPr>
              <w:rPr>
                <w:rFonts w:ascii="Times New Roman" w:hAnsi="Times New Roman" w:cs="Times New Roman"/>
                <w:sz w:val="24"/>
                <w:szCs w:val="24"/>
              </w:rPr>
            </w:pPr>
          </w:p>
        </w:tc>
        <w:tc>
          <w:tcPr>
            <w:tcW w:w="2610" w:type="dxa"/>
            <w:gridSpan w:val="2"/>
          </w:tcPr>
          <w:p w14:paraId="358ED7F2" w14:textId="77777777" w:rsidR="007E1B0B" w:rsidRPr="000D3717" w:rsidRDefault="007E1B0B" w:rsidP="008D7069">
            <w:pPr>
              <w:rPr>
                <w:rFonts w:ascii="Times New Roman" w:hAnsi="Times New Roman" w:cs="Times New Roman"/>
                <w:sz w:val="24"/>
                <w:szCs w:val="24"/>
              </w:rPr>
            </w:pPr>
          </w:p>
        </w:tc>
      </w:tr>
      <w:tr w:rsidR="007E1B0B" w:rsidRPr="000D3717" w14:paraId="5A557D54" w14:textId="77777777" w:rsidTr="00494035">
        <w:tc>
          <w:tcPr>
            <w:tcW w:w="1710" w:type="dxa"/>
            <w:vMerge w:val="restart"/>
          </w:tcPr>
          <w:p w14:paraId="2D7100F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Bërja e biznesit</w:t>
            </w:r>
          </w:p>
        </w:tc>
        <w:tc>
          <w:tcPr>
            <w:tcW w:w="4050" w:type="dxa"/>
          </w:tcPr>
          <w:p w14:paraId="633F71ED"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 xml:space="preserve">A do të ndikojë në qasjen në financa për biznes? </w:t>
            </w:r>
          </w:p>
        </w:tc>
        <w:tc>
          <w:tcPr>
            <w:tcW w:w="810" w:type="dxa"/>
          </w:tcPr>
          <w:p w14:paraId="14027BA6" w14:textId="2CBDF93F" w:rsidR="007E1B0B" w:rsidRPr="000D3717" w:rsidRDefault="007E1B0B" w:rsidP="008D7069">
            <w:pPr>
              <w:rPr>
                <w:rFonts w:ascii="Times New Roman" w:hAnsi="Times New Roman" w:cs="Times New Roman"/>
                <w:sz w:val="24"/>
                <w:szCs w:val="24"/>
              </w:rPr>
            </w:pPr>
            <w:r w:rsidRPr="00F457E1">
              <w:rPr>
                <w:rFonts w:ascii="Times New Roman" w:hAnsi="Times New Roman" w:cs="Times New Roman"/>
                <w:sz w:val="24"/>
                <w:szCs w:val="24"/>
              </w:rPr>
              <w:t>x</w:t>
            </w:r>
          </w:p>
        </w:tc>
        <w:tc>
          <w:tcPr>
            <w:tcW w:w="810" w:type="dxa"/>
          </w:tcPr>
          <w:p w14:paraId="3E4E4E05" w14:textId="77777777" w:rsidR="007E1B0B" w:rsidRPr="000D3717" w:rsidRDefault="007E1B0B" w:rsidP="008D7069">
            <w:pPr>
              <w:rPr>
                <w:rFonts w:ascii="Times New Roman" w:hAnsi="Times New Roman" w:cs="Times New Roman"/>
                <w:sz w:val="24"/>
                <w:szCs w:val="24"/>
              </w:rPr>
            </w:pPr>
          </w:p>
        </w:tc>
        <w:tc>
          <w:tcPr>
            <w:tcW w:w="2430" w:type="dxa"/>
          </w:tcPr>
          <w:p w14:paraId="5D13F0E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610EAF81" w14:textId="77777777" w:rsidR="007E1B0B" w:rsidRPr="000D3717" w:rsidRDefault="007E1B0B" w:rsidP="008D7069">
            <w:pPr>
              <w:rPr>
                <w:rFonts w:ascii="Times New Roman" w:hAnsi="Times New Roman" w:cs="Times New Roman"/>
                <w:sz w:val="24"/>
                <w:szCs w:val="24"/>
              </w:rPr>
            </w:pPr>
          </w:p>
        </w:tc>
        <w:tc>
          <w:tcPr>
            <w:tcW w:w="2610" w:type="dxa"/>
            <w:gridSpan w:val="2"/>
          </w:tcPr>
          <w:p w14:paraId="0B6FC7ED" w14:textId="77777777" w:rsidR="007E1B0B" w:rsidRPr="000D3717" w:rsidRDefault="007E1B0B" w:rsidP="008D7069">
            <w:pPr>
              <w:rPr>
                <w:rFonts w:ascii="Times New Roman" w:hAnsi="Times New Roman" w:cs="Times New Roman"/>
                <w:sz w:val="24"/>
                <w:szCs w:val="24"/>
              </w:rPr>
            </w:pPr>
          </w:p>
        </w:tc>
      </w:tr>
      <w:tr w:rsidR="007E1B0B" w:rsidRPr="000D3717" w14:paraId="6CB21506" w14:textId="77777777" w:rsidTr="00494035">
        <w:tc>
          <w:tcPr>
            <w:tcW w:w="1710" w:type="dxa"/>
            <w:vMerge/>
          </w:tcPr>
          <w:p w14:paraId="1CB5DC21" w14:textId="77777777" w:rsidR="007E1B0B" w:rsidRPr="000D3717" w:rsidRDefault="007E1B0B" w:rsidP="008D7069">
            <w:pPr>
              <w:rPr>
                <w:rFonts w:ascii="Times New Roman" w:hAnsi="Times New Roman" w:cs="Times New Roman"/>
                <w:sz w:val="24"/>
                <w:szCs w:val="24"/>
              </w:rPr>
            </w:pPr>
          </w:p>
        </w:tc>
        <w:tc>
          <w:tcPr>
            <w:tcW w:w="4050" w:type="dxa"/>
          </w:tcPr>
          <w:p w14:paraId="07CAA4F3"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largohen nga tregu produkte të caktuara?</w:t>
            </w:r>
          </w:p>
        </w:tc>
        <w:tc>
          <w:tcPr>
            <w:tcW w:w="810" w:type="dxa"/>
          </w:tcPr>
          <w:p w14:paraId="0426B248" w14:textId="77777777" w:rsidR="007E1B0B" w:rsidRPr="000D3717" w:rsidRDefault="007E1B0B" w:rsidP="008D7069">
            <w:pPr>
              <w:rPr>
                <w:rFonts w:ascii="Times New Roman" w:hAnsi="Times New Roman" w:cs="Times New Roman"/>
                <w:sz w:val="24"/>
                <w:szCs w:val="24"/>
              </w:rPr>
            </w:pPr>
          </w:p>
        </w:tc>
        <w:tc>
          <w:tcPr>
            <w:tcW w:w="810" w:type="dxa"/>
          </w:tcPr>
          <w:p w14:paraId="5B9229E1" w14:textId="3DFB548D" w:rsidR="007E1B0B" w:rsidRPr="000D3717" w:rsidRDefault="007E1B0B" w:rsidP="008D7069">
            <w:pPr>
              <w:rPr>
                <w:rFonts w:ascii="Times New Roman" w:hAnsi="Times New Roman" w:cs="Times New Roman"/>
                <w:sz w:val="24"/>
                <w:szCs w:val="24"/>
              </w:rPr>
            </w:pPr>
            <w:r w:rsidRPr="00B974BC">
              <w:rPr>
                <w:rFonts w:ascii="Times New Roman" w:hAnsi="Times New Roman" w:cs="Times New Roman"/>
                <w:sz w:val="24"/>
                <w:szCs w:val="24"/>
              </w:rPr>
              <w:t>x</w:t>
            </w:r>
          </w:p>
        </w:tc>
        <w:tc>
          <w:tcPr>
            <w:tcW w:w="2430" w:type="dxa"/>
          </w:tcPr>
          <w:p w14:paraId="115D7FA6" w14:textId="77777777" w:rsidR="007E1B0B" w:rsidRPr="000D3717" w:rsidRDefault="007E1B0B" w:rsidP="008D7069">
            <w:pPr>
              <w:rPr>
                <w:rFonts w:ascii="Times New Roman" w:hAnsi="Times New Roman" w:cs="Times New Roman"/>
                <w:sz w:val="24"/>
                <w:szCs w:val="24"/>
              </w:rPr>
            </w:pPr>
          </w:p>
        </w:tc>
        <w:tc>
          <w:tcPr>
            <w:tcW w:w="1620" w:type="dxa"/>
          </w:tcPr>
          <w:p w14:paraId="4AF6ADCA" w14:textId="77777777" w:rsidR="007E1B0B" w:rsidRPr="000D3717" w:rsidRDefault="007E1B0B" w:rsidP="008D7069">
            <w:pPr>
              <w:rPr>
                <w:rFonts w:ascii="Times New Roman" w:hAnsi="Times New Roman" w:cs="Times New Roman"/>
                <w:sz w:val="24"/>
                <w:szCs w:val="24"/>
              </w:rPr>
            </w:pPr>
          </w:p>
        </w:tc>
        <w:tc>
          <w:tcPr>
            <w:tcW w:w="2610" w:type="dxa"/>
            <w:gridSpan w:val="2"/>
          </w:tcPr>
          <w:p w14:paraId="7475F7D8" w14:textId="77777777" w:rsidR="007E1B0B" w:rsidRPr="000D3717" w:rsidRDefault="007E1B0B" w:rsidP="008D7069">
            <w:pPr>
              <w:rPr>
                <w:rFonts w:ascii="Times New Roman" w:hAnsi="Times New Roman" w:cs="Times New Roman"/>
                <w:sz w:val="24"/>
                <w:szCs w:val="24"/>
              </w:rPr>
            </w:pPr>
          </w:p>
        </w:tc>
      </w:tr>
      <w:tr w:rsidR="007E1B0B" w:rsidRPr="000D3717" w14:paraId="33731F6A" w14:textId="77777777" w:rsidTr="00494035">
        <w:tc>
          <w:tcPr>
            <w:tcW w:w="1710" w:type="dxa"/>
            <w:vMerge/>
          </w:tcPr>
          <w:p w14:paraId="06DD7541" w14:textId="77777777" w:rsidR="007E1B0B" w:rsidRPr="000D3717" w:rsidRDefault="007E1B0B" w:rsidP="008D7069">
            <w:pPr>
              <w:rPr>
                <w:rFonts w:ascii="Times New Roman" w:hAnsi="Times New Roman" w:cs="Times New Roman"/>
                <w:sz w:val="24"/>
                <w:szCs w:val="24"/>
              </w:rPr>
            </w:pPr>
          </w:p>
        </w:tc>
        <w:tc>
          <w:tcPr>
            <w:tcW w:w="4050" w:type="dxa"/>
          </w:tcPr>
          <w:p w14:paraId="78E7EBA4"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lejohen në treg produkte të caktuara?</w:t>
            </w:r>
          </w:p>
        </w:tc>
        <w:tc>
          <w:tcPr>
            <w:tcW w:w="810" w:type="dxa"/>
          </w:tcPr>
          <w:p w14:paraId="7447F925" w14:textId="77777777" w:rsidR="007E1B0B" w:rsidRPr="000D3717" w:rsidRDefault="007E1B0B" w:rsidP="008D7069">
            <w:pPr>
              <w:rPr>
                <w:rFonts w:ascii="Times New Roman" w:hAnsi="Times New Roman" w:cs="Times New Roman"/>
                <w:sz w:val="24"/>
                <w:szCs w:val="24"/>
              </w:rPr>
            </w:pPr>
          </w:p>
        </w:tc>
        <w:tc>
          <w:tcPr>
            <w:tcW w:w="810" w:type="dxa"/>
          </w:tcPr>
          <w:p w14:paraId="082E0957" w14:textId="6DE76DE7" w:rsidR="007E1B0B" w:rsidRPr="000D3717" w:rsidRDefault="007E1B0B" w:rsidP="008D7069">
            <w:pPr>
              <w:rPr>
                <w:rFonts w:ascii="Times New Roman" w:hAnsi="Times New Roman" w:cs="Times New Roman"/>
                <w:sz w:val="24"/>
                <w:szCs w:val="24"/>
              </w:rPr>
            </w:pPr>
            <w:r w:rsidRPr="00B974BC">
              <w:rPr>
                <w:rFonts w:ascii="Times New Roman" w:hAnsi="Times New Roman" w:cs="Times New Roman"/>
                <w:sz w:val="24"/>
                <w:szCs w:val="24"/>
              </w:rPr>
              <w:t>x</w:t>
            </w:r>
          </w:p>
        </w:tc>
        <w:tc>
          <w:tcPr>
            <w:tcW w:w="2430" w:type="dxa"/>
          </w:tcPr>
          <w:p w14:paraId="6928FCAF" w14:textId="77777777" w:rsidR="007E1B0B" w:rsidRPr="000D3717" w:rsidRDefault="007E1B0B" w:rsidP="008D7069">
            <w:pPr>
              <w:rPr>
                <w:rFonts w:ascii="Times New Roman" w:hAnsi="Times New Roman" w:cs="Times New Roman"/>
                <w:sz w:val="24"/>
                <w:szCs w:val="24"/>
              </w:rPr>
            </w:pPr>
          </w:p>
        </w:tc>
        <w:tc>
          <w:tcPr>
            <w:tcW w:w="1620" w:type="dxa"/>
          </w:tcPr>
          <w:p w14:paraId="6472BA9C" w14:textId="77777777" w:rsidR="007E1B0B" w:rsidRPr="000D3717" w:rsidRDefault="007E1B0B" w:rsidP="008D7069">
            <w:pPr>
              <w:rPr>
                <w:rFonts w:ascii="Times New Roman" w:hAnsi="Times New Roman" w:cs="Times New Roman"/>
                <w:sz w:val="24"/>
                <w:szCs w:val="24"/>
              </w:rPr>
            </w:pPr>
          </w:p>
        </w:tc>
        <w:tc>
          <w:tcPr>
            <w:tcW w:w="2610" w:type="dxa"/>
            <w:gridSpan w:val="2"/>
          </w:tcPr>
          <w:p w14:paraId="206DE83D" w14:textId="77777777" w:rsidR="007E1B0B" w:rsidRPr="000D3717" w:rsidRDefault="007E1B0B" w:rsidP="008D7069">
            <w:pPr>
              <w:rPr>
                <w:rFonts w:ascii="Times New Roman" w:hAnsi="Times New Roman" w:cs="Times New Roman"/>
                <w:sz w:val="24"/>
                <w:szCs w:val="24"/>
              </w:rPr>
            </w:pPr>
          </w:p>
        </w:tc>
      </w:tr>
      <w:tr w:rsidR="007E1B0B" w:rsidRPr="000D3717" w14:paraId="4DFDEA6F" w14:textId="77777777" w:rsidTr="00494035">
        <w:tc>
          <w:tcPr>
            <w:tcW w:w="1710" w:type="dxa"/>
            <w:vMerge/>
          </w:tcPr>
          <w:p w14:paraId="6288E246" w14:textId="77777777" w:rsidR="007E1B0B" w:rsidRPr="000D3717" w:rsidRDefault="007E1B0B" w:rsidP="008D7069">
            <w:pPr>
              <w:rPr>
                <w:rFonts w:ascii="Times New Roman" w:hAnsi="Times New Roman" w:cs="Times New Roman"/>
                <w:sz w:val="24"/>
                <w:szCs w:val="24"/>
              </w:rPr>
            </w:pPr>
          </w:p>
        </w:tc>
        <w:tc>
          <w:tcPr>
            <w:tcW w:w="4050" w:type="dxa"/>
          </w:tcPr>
          <w:p w14:paraId="385D7D2F"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detyrohen bizneset të mbyllen?</w:t>
            </w:r>
          </w:p>
        </w:tc>
        <w:tc>
          <w:tcPr>
            <w:tcW w:w="810" w:type="dxa"/>
          </w:tcPr>
          <w:p w14:paraId="7598412C" w14:textId="77777777" w:rsidR="007E1B0B" w:rsidRPr="000D3717" w:rsidRDefault="007E1B0B" w:rsidP="008D7069">
            <w:pPr>
              <w:rPr>
                <w:rFonts w:ascii="Times New Roman" w:hAnsi="Times New Roman" w:cs="Times New Roman"/>
                <w:sz w:val="24"/>
                <w:szCs w:val="24"/>
              </w:rPr>
            </w:pPr>
          </w:p>
        </w:tc>
        <w:tc>
          <w:tcPr>
            <w:tcW w:w="810" w:type="dxa"/>
          </w:tcPr>
          <w:p w14:paraId="6D0931AA" w14:textId="0159678E" w:rsidR="007E1B0B" w:rsidRPr="000D3717" w:rsidRDefault="007E1B0B" w:rsidP="008D7069">
            <w:pPr>
              <w:rPr>
                <w:rFonts w:ascii="Times New Roman" w:hAnsi="Times New Roman" w:cs="Times New Roman"/>
                <w:sz w:val="24"/>
                <w:szCs w:val="24"/>
              </w:rPr>
            </w:pPr>
            <w:r w:rsidRPr="00B974BC">
              <w:rPr>
                <w:rFonts w:ascii="Times New Roman" w:hAnsi="Times New Roman" w:cs="Times New Roman"/>
                <w:sz w:val="24"/>
                <w:szCs w:val="24"/>
              </w:rPr>
              <w:t>x</w:t>
            </w:r>
          </w:p>
        </w:tc>
        <w:tc>
          <w:tcPr>
            <w:tcW w:w="2430" w:type="dxa"/>
          </w:tcPr>
          <w:p w14:paraId="14C32A31" w14:textId="77777777" w:rsidR="007E1B0B" w:rsidRPr="000D3717" w:rsidRDefault="007E1B0B" w:rsidP="008D7069">
            <w:pPr>
              <w:rPr>
                <w:rFonts w:ascii="Times New Roman" w:hAnsi="Times New Roman" w:cs="Times New Roman"/>
                <w:sz w:val="24"/>
                <w:szCs w:val="24"/>
              </w:rPr>
            </w:pPr>
          </w:p>
        </w:tc>
        <w:tc>
          <w:tcPr>
            <w:tcW w:w="1620" w:type="dxa"/>
          </w:tcPr>
          <w:p w14:paraId="1E364EC7" w14:textId="77777777" w:rsidR="007E1B0B" w:rsidRPr="000D3717" w:rsidRDefault="007E1B0B" w:rsidP="008D7069">
            <w:pPr>
              <w:rPr>
                <w:rFonts w:ascii="Times New Roman" w:hAnsi="Times New Roman" w:cs="Times New Roman"/>
                <w:sz w:val="24"/>
                <w:szCs w:val="24"/>
              </w:rPr>
            </w:pPr>
          </w:p>
        </w:tc>
        <w:tc>
          <w:tcPr>
            <w:tcW w:w="2610" w:type="dxa"/>
            <w:gridSpan w:val="2"/>
          </w:tcPr>
          <w:p w14:paraId="2478EBE1" w14:textId="77777777" w:rsidR="007E1B0B" w:rsidRPr="000D3717" w:rsidRDefault="007E1B0B" w:rsidP="008D7069">
            <w:pPr>
              <w:rPr>
                <w:rFonts w:ascii="Times New Roman" w:hAnsi="Times New Roman" w:cs="Times New Roman"/>
                <w:sz w:val="24"/>
                <w:szCs w:val="24"/>
              </w:rPr>
            </w:pPr>
          </w:p>
        </w:tc>
      </w:tr>
      <w:tr w:rsidR="00674773" w:rsidRPr="000D3717" w14:paraId="02BAA64A" w14:textId="77777777" w:rsidTr="00494035">
        <w:trPr>
          <w:trHeight w:val="325"/>
        </w:trPr>
        <w:tc>
          <w:tcPr>
            <w:tcW w:w="1710" w:type="dxa"/>
            <w:vMerge/>
          </w:tcPr>
          <w:p w14:paraId="21177A0B" w14:textId="77777777" w:rsidR="00674773" w:rsidRPr="000D3717" w:rsidRDefault="00674773" w:rsidP="008D7069">
            <w:pPr>
              <w:rPr>
                <w:rFonts w:ascii="Times New Roman" w:hAnsi="Times New Roman" w:cs="Times New Roman"/>
                <w:sz w:val="24"/>
                <w:szCs w:val="24"/>
              </w:rPr>
            </w:pPr>
          </w:p>
        </w:tc>
        <w:tc>
          <w:tcPr>
            <w:tcW w:w="4050" w:type="dxa"/>
          </w:tcPr>
          <w:p w14:paraId="1CB1CA0C" w14:textId="77777777" w:rsidR="00674773" w:rsidRPr="000D3717" w:rsidRDefault="00674773"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krijohen biznese të reja?</w:t>
            </w:r>
          </w:p>
        </w:tc>
        <w:tc>
          <w:tcPr>
            <w:tcW w:w="810" w:type="dxa"/>
          </w:tcPr>
          <w:p w14:paraId="6BA0DDDD" w14:textId="68D83D26" w:rsidR="00674773"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156C4745" w14:textId="77777777" w:rsidR="00674773" w:rsidRPr="000D3717" w:rsidRDefault="00674773" w:rsidP="008D7069">
            <w:pPr>
              <w:rPr>
                <w:rFonts w:ascii="Times New Roman" w:hAnsi="Times New Roman" w:cs="Times New Roman"/>
                <w:sz w:val="24"/>
                <w:szCs w:val="24"/>
              </w:rPr>
            </w:pPr>
          </w:p>
        </w:tc>
        <w:tc>
          <w:tcPr>
            <w:tcW w:w="2430" w:type="dxa"/>
          </w:tcPr>
          <w:p w14:paraId="75F6EFC4" w14:textId="77777777" w:rsidR="00674773" w:rsidRPr="000D3717" w:rsidRDefault="002F22E0"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1D5919E8" w14:textId="77777777" w:rsidR="00674773" w:rsidRPr="000D3717" w:rsidRDefault="00674773" w:rsidP="008D7069">
            <w:pPr>
              <w:rPr>
                <w:rFonts w:ascii="Times New Roman" w:hAnsi="Times New Roman" w:cs="Times New Roman"/>
                <w:sz w:val="24"/>
                <w:szCs w:val="24"/>
              </w:rPr>
            </w:pPr>
          </w:p>
        </w:tc>
        <w:tc>
          <w:tcPr>
            <w:tcW w:w="2610" w:type="dxa"/>
            <w:gridSpan w:val="2"/>
          </w:tcPr>
          <w:p w14:paraId="7E439BBD" w14:textId="77777777" w:rsidR="00674773" w:rsidRPr="000D3717" w:rsidRDefault="00674773" w:rsidP="008D7069">
            <w:pPr>
              <w:rPr>
                <w:rFonts w:ascii="Times New Roman" w:hAnsi="Times New Roman" w:cs="Times New Roman"/>
                <w:sz w:val="24"/>
                <w:szCs w:val="24"/>
              </w:rPr>
            </w:pPr>
          </w:p>
        </w:tc>
      </w:tr>
      <w:tr w:rsidR="00674773" w:rsidRPr="000D3717" w14:paraId="2CFC949C" w14:textId="77777777" w:rsidTr="00494035">
        <w:tc>
          <w:tcPr>
            <w:tcW w:w="1710" w:type="dxa"/>
            <w:vMerge w:val="restart"/>
          </w:tcPr>
          <w:p w14:paraId="4D8A057A" w14:textId="77777777" w:rsidR="00674773" w:rsidRPr="000D3717" w:rsidRDefault="00674773" w:rsidP="008D7069">
            <w:pPr>
              <w:rPr>
                <w:rFonts w:ascii="Times New Roman" w:hAnsi="Times New Roman" w:cs="Times New Roman"/>
                <w:sz w:val="24"/>
                <w:szCs w:val="24"/>
              </w:rPr>
            </w:pPr>
            <w:r w:rsidRPr="000D3717">
              <w:rPr>
                <w:rFonts w:ascii="Times New Roman" w:hAnsi="Times New Roman" w:cs="Times New Roman"/>
                <w:sz w:val="24"/>
                <w:szCs w:val="24"/>
              </w:rPr>
              <w:t>Ngarkesa administrative</w:t>
            </w:r>
          </w:p>
        </w:tc>
        <w:tc>
          <w:tcPr>
            <w:tcW w:w="4050" w:type="dxa"/>
          </w:tcPr>
          <w:p w14:paraId="4300F3B0" w14:textId="77777777" w:rsidR="00674773" w:rsidRPr="000D3717" w:rsidRDefault="00674773" w:rsidP="002D58A3">
            <w:pPr>
              <w:jc w:val="both"/>
              <w:rPr>
                <w:rFonts w:ascii="Times New Roman" w:hAnsi="Times New Roman" w:cs="Times New Roman"/>
                <w:sz w:val="24"/>
                <w:szCs w:val="24"/>
              </w:rPr>
            </w:pPr>
            <w:r w:rsidRPr="000D3717">
              <w:rPr>
                <w:rFonts w:ascii="Times New Roman" w:hAnsi="Times New Roman" w:cs="Times New Roman"/>
                <w:sz w:val="24"/>
                <w:szCs w:val="24"/>
              </w:rPr>
              <w:t xml:space="preserve">A do të detyrohen bizneset t’i përmbushin detyrimet e </w:t>
            </w:r>
            <w:r w:rsidR="00384463" w:rsidRPr="000D3717">
              <w:rPr>
                <w:rFonts w:ascii="Times New Roman" w:hAnsi="Times New Roman" w:cs="Times New Roman"/>
                <w:sz w:val="24"/>
                <w:szCs w:val="24"/>
              </w:rPr>
              <w:t>dhënies</w:t>
            </w:r>
            <w:r w:rsidRPr="000D3717">
              <w:rPr>
                <w:rFonts w:ascii="Times New Roman" w:hAnsi="Times New Roman" w:cs="Times New Roman"/>
                <w:sz w:val="24"/>
                <w:szCs w:val="24"/>
              </w:rPr>
              <w:t xml:space="preserve"> së </w:t>
            </w:r>
            <w:r w:rsidRPr="000D3717">
              <w:rPr>
                <w:rFonts w:ascii="Times New Roman" w:hAnsi="Times New Roman" w:cs="Times New Roman"/>
                <w:sz w:val="24"/>
                <w:szCs w:val="24"/>
              </w:rPr>
              <w:lastRenderedPageBreak/>
              <w:t xml:space="preserve">informatave të reja? </w:t>
            </w:r>
          </w:p>
        </w:tc>
        <w:tc>
          <w:tcPr>
            <w:tcW w:w="810" w:type="dxa"/>
          </w:tcPr>
          <w:p w14:paraId="169173AB" w14:textId="77777777" w:rsidR="00674773" w:rsidRPr="000D3717" w:rsidRDefault="00674773" w:rsidP="008D7069">
            <w:pPr>
              <w:rPr>
                <w:rFonts w:ascii="Times New Roman" w:hAnsi="Times New Roman" w:cs="Times New Roman"/>
                <w:sz w:val="24"/>
                <w:szCs w:val="24"/>
              </w:rPr>
            </w:pPr>
          </w:p>
        </w:tc>
        <w:tc>
          <w:tcPr>
            <w:tcW w:w="810" w:type="dxa"/>
          </w:tcPr>
          <w:p w14:paraId="650F1A98" w14:textId="30C43105" w:rsidR="00674773"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0F7C3142" w14:textId="77777777" w:rsidR="00674773" w:rsidRPr="000D3717" w:rsidRDefault="00674773" w:rsidP="008D7069">
            <w:pPr>
              <w:rPr>
                <w:rFonts w:ascii="Times New Roman" w:hAnsi="Times New Roman" w:cs="Times New Roman"/>
                <w:sz w:val="24"/>
                <w:szCs w:val="24"/>
              </w:rPr>
            </w:pPr>
          </w:p>
        </w:tc>
        <w:tc>
          <w:tcPr>
            <w:tcW w:w="1620" w:type="dxa"/>
          </w:tcPr>
          <w:p w14:paraId="2A7A6401" w14:textId="77777777" w:rsidR="00674773" w:rsidRPr="000D3717" w:rsidRDefault="00674773" w:rsidP="008D7069">
            <w:pPr>
              <w:rPr>
                <w:rFonts w:ascii="Times New Roman" w:hAnsi="Times New Roman" w:cs="Times New Roman"/>
                <w:sz w:val="24"/>
                <w:szCs w:val="24"/>
              </w:rPr>
            </w:pPr>
          </w:p>
        </w:tc>
        <w:tc>
          <w:tcPr>
            <w:tcW w:w="2610" w:type="dxa"/>
            <w:gridSpan w:val="2"/>
          </w:tcPr>
          <w:p w14:paraId="345B4897" w14:textId="77777777" w:rsidR="00674773" w:rsidRPr="000D3717" w:rsidRDefault="00674773" w:rsidP="008D7069">
            <w:pPr>
              <w:rPr>
                <w:rFonts w:ascii="Times New Roman" w:hAnsi="Times New Roman" w:cs="Times New Roman"/>
                <w:sz w:val="24"/>
                <w:szCs w:val="24"/>
              </w:rPr>
            </w:pPr>
          </w:p>
        </w:tc>
      </w:tr>
      <w:tr w:rsidR="007E1B0B" w:rsidRPr="000D3717" w14:paraId="65FC0378" w14:textId="77777777" w:rsidTr="00494035">
        <w:tc>
          <w:tcPr>
            <w:tcW w:w="1710" w:type="dxa"/>
            <w:vMerge/>
          </w:tcPr>
          <w:p w14:paraId="70DDF0A6" w14:textId="77777777" w:rsidR="007E1B0B" w:rsidRPr="000D3717" w:rsidRDefault="007E1B0B" w:rsidP="008D7069">
            <w:pPr>
              <w:rPr>
                <w:rFonts w:ascii="Times New Roman" w:hAnsi="Times New Roman" w:cs="Times New Roman"/>
                <w:sz w:val="24"/>
                <w:szCs w:val="24"/>
              </w:rPr>
            </w:pPr>
          </w:p>
        </w:tc>
        <w:tc>
          <w:tcPr>
            <w:tcW w:w="4050" w:type="dxa"/>
          </w:tcPr>
          <w:p w14:paraId="0D65F131"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janë thjeshtuar detyrimet e dhënies së informatave për bizneset?</w:t>
            </w:r>
          </w:p>
        </w:tc>
        <w:tc>
          <w:tcPr>
            <w:tcW w:w="810" w:type="dxa"/>
          </w:tcPr>
          <w:p w14:paraId="1AE29309" w14:textId="3DAF82BA" w:rsidR="007E1B0B" w:rsidRPr="000D3717" w:rsidRDefault="007E1B0B" w:rsidP="008D7069">
            <w:pPr>
              <w:rPr>
                <w:rFonts w:ascii="Times New Roman" w:hAnsi="Times New Roman" w:cs="Times New Roman"/>
                <w:sz w:val="24"/>
                <w:szCs w:val="24"/>
              </w:rPr>
            </w:pPr>
            <w:r w:rsidRPr="00DA5C3E">
              <w:rPr>
                <w:rFonts w:ascii="Times New Roman" w:hAnsi="Times New Roman" w:cs="Times New Roman"/>
                <w:sz w:val="24"/>
                <w:szCs w:val="24"/>
              </w:rPr>
              <w:t>x</w:t>
            </w:r>
          </w:p>
        </w:tc>
        <w:tc>
          <w:tcPr>
            <w:tcW w:w="810" w:type="dxa"/>
          </w:tcPr>
          <w:p w14:paraId="012F7686" w14:textId="77777777" w:rsidR="007E1B0B" w:rsidRPr="000D3717" w:rsidRDefault="007E1B0B" w:rsidP="008D7069">
            <w:pPr>
              <w:rPr>
                <w:rFonts w:ascii="Times New Roman" w:hAnsi="Times New Roman" w:cs="Times New Roman"/>
                <w:sz w:val="24"/>
                <w:szCs w:val="24"/>
              </w:rPr>
            </w:pPr>
          </w:p>
        </w:tc>
        <w:tc>
          <w:tcPr>
            <w:tcW w:w="2430" w:type="dxa"/>
          </w:tcPr>
          <w:p w14:paraId="14E2934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5338BECB" w14:textId="77777777" w:rsidR="007E1B0B" w:rsidRPr="000D3717" w:rsidRDefault="007E1B0B" w:rsidP="008D7069">
            <w:pPr>
              <w:rPr>
                <w:rFonts w:ascii="Times New Roman" w:hAnsi="Times New Roman" w:cs="Times New Roman"/>
                <w:sz w:val="24"/>
                <w:szCs w:val="24"/>
              </w:rPr>
            </w:pPr>
          </w:p>
        </w:tc>
        <w:tc>
          <w:tcPr>
            <w:tcW w:w="2610" w:type="dxa"/>
            <w:gridSpan w:val="2"/>
          </w:tcPr>
          <w:p w14:paraId="42FC5956" w14:textId="09511130" w:rsidR="007E1B0B" w:rsidRPr="000D3717" w:rsidRDefault="00C61042" w:rsidP="008D7069">
            <w:pPr>
              <w:rPr>
                <w:rFonts w:ascii="Times New Roman" w:hAnsi="Times New Roman" w:cs="Times New Roman"/>
                <w:sz w:val="24"/>
                <w:szCs w:val="24"/>
              </w:rPr>
            </w:pPr>
            <w:r w:rsidRPr="000D3717">
              <w:rPr>
                <w:rFonts w:ascii="Times New Roman" w:hAnsi="Times New Roman" w:cs="Times New Roman"/>
                <w:sz w:val="24"/>
                <w:szCs w:val="24"/>
              </w:rPr>
              <w:t>Kërkesat</w:t>
            </w:r>
            <w:r w:rsidR="007E1B0B" w:rsidRPr="000D3717">
              <w:rPr>
                <w:rFonts w:ascii="Times New Roman" w:hAnsi="Times New Roman" w:cs="Times New Roman"/>
                <w:sz w:val="24"/>
                <w:szCs w:val="24"/>
              </w:rPr>
              <w:t xml:space="preserve"> e vogla</w:t>
            </w:r>
          </w:p>
        </w:tc>
      </w:tr>
      <w:tr w:rsidR="007E1B0B" w:rsidRPr="000D3717" w14:paraId="065DD10F" w14:textId="77777777" w:rsidTr="00494035">
        <w:tc>
          <w:tcPr>
            <w:tcW w:w="1710" w:type="dxa"/>
            <w:vMerge w:val="restart"/>
          </w:tcPr>
          <w:p w14:paraId="101DFA8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Tregtia</w:t>
            </w:r>
          </w:p>
        </w:tc>
        <w:tc>
          <w:tcPr>
            <w:tcW w:w="4050" w:type="dxa"/>
          </w:tcPr>
          <w:p w14:paraId="692097A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pritet të ndryshojnë flukset aktuale të importit? </w:t>
            </w:r>
          </w:p>
        </w:tc>
        <w:tc>
          <w:tcPr>
            <w:tcW w:w="810" w:type="dxa"/>
          </w:tcPr>
          <w:p w14:paraId="2267E679" w14:textId="04C8AD73" w:rsidR="007E1B0B" w:rsidRPr="000D3717" w:rsidRDefault="007E1B0B" w:rsidP="008D7069">
            <w:pPr>
              <w:rPr>
                <w:rFonts w:ascii="Times New Roman" w:hAnsi="Times New Roman" w:cs="Times New Roman"/>
                <w:sz w:val="24"/>
                <w:szCs w:val="24"/>
              </w:rPr>
            </w:pPr>
            <w:r w:rsidRPr="00DA5C3E">
              <w:rPr>
                <w:rFonts w:ascii="Times New Roman" w:hAnsi="Times New Roman" w:cs="Times New Roman"/>
                <w:sz w:val="24"/>
                <w:szCs w:val="24"/>
              </w:rPr>
              <w:t>x</w:t>
            </w:r>
          </w:p>
        </w:tc>
        <w:tc>
          <w:tcPr>
            <w:tcW w:w="810" w:type="dxa"/>
          </w:tcPr>
          <w:p w14:paraId="070177E4" w14:textId="77777777" w:rsidR="007E1B0B" w:rsidRPr="000D3717" w:rsidRDefault="007E1B0B" w:rsidP="008D7069">
            <w:pPr>
              <w:rPr>
                <w:rFonts w:ascii="Times New Roman" w:hAnsi="Times New Roman" w:cs="Times New Roman"/>
                <w:sz w:val="24"/>
                <w:szCs w:val="24"/>
              </w:rPr>
            </w:pPr>
          </w:p>
        </w:tc>
        <w:tc>
          <w:tcPr>
            <w:tcW w:w="2430" w:type="dxa"/>
          </w:tcPr>
          <w:p w14:paraId="5E6127B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503C7E2D" w14:textId="77777777" w:rsidR="007E1B0B" w:rsidRPr="000D3717" w:rsidRDefault="007E1B0B" w:rsidP="008D7069">
            <w:pPr>
              <w:rPr>
                <w:rFonts w:ascii="Times New Roman" w:hAnsi="Times New Roman" w:cs="Times New Roman"/>
                <w:sz w:val="24"/>
                <w:szCs w:val="24"/>
              </w:rPr>
            </w:pPr>
          </w:p>
        </w:tc>
        <w:tc>
          <w:tcPr>
            <w:tcW w:w="2610" w:type="dxa"/>
            <w:gridSpan w:val="2"/>
          </w:tcPr>
          <w:p w14:paraId="3BC16C20" w14:textId="77777777" w:rsidR="007E1B0B" w:rsidRPr="000D3717" w:rsidRDefault="007E1B0B" w:rsidP="008D7069">
            <w:pPr>
              <w:rPr>
                <w:rFonts w:ascii="Times New Roman" w:hAnsi="Times New Roman" w:cs="Times New Roman"/>
                <w:sz w:val="24"/>
                <w:szCs w:val="24"/>
              </w:rPr>
            </w:pPr>
          </w:p>
        </w:tc>
      </w:tr>
      <w:tr w:rsidR="007E1B0B" w:rsidRPr="000D3717" w14:paraId="077ECC6F" w14:textId="77777777" w:rsidTr="00494035">
        <w:tc>
          <w:tcPr>
            <w:tcW w:w="1710" w:type="dxa"/>
            <w:vMerge/>
          </w:tcPr>
          <w:p w14:paraId="5829E039" w14:textId="77777777" w:rsidR="007E1B0B" w:rsidRPr="000D3717" w:rsidRDefault="007E1B0B" w:rsidP="008D7069">
            <w:pPr>
              <w:rPr>
                <w:rFonts w:ascii="Times New Roman" w:hAnsi="Times New Roman" w:cs="Times New Roman"/>
                <w:sz w:val="24"/>
                <w:szCs w:val="24"/>
              </w:rPr>
            </w:pPr>
          </w:p>
        </w:tc>
        <w:tc>
          <w:tcPr>
            <w:tcW w:w="4050" w:type="dxa"/>
          </w:tcPr>
          <w:p w14:paraId="598BD84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pritet të ndryshojnë flukset aktuale të eksportit?</w:t>
            </w:r>
          </w:p>
        </w:tc>
        <w:tc>
          <w:tcPr>
            <w:tcW w:w="810" w:type="dxa"/>
          </w:tcPr>
          <w:p w14:paraId="64F3FE84" w14:textId="61F2E035" w:rsidR="007E1B0B" w:rsidRPr="000D3717" w:rsidRDefault="007E1B0B" w:rsidP="008D7069">
            <w:pPr>
              <w:rPr>
                <w:rFonts w:ascii="Times New Roman" w:hAnsi="Times New Roman" w:cs="Times New Roman"/>
                <w:sz w:val="24"/>
                <w:szCs w:val="24"/>
              </w:rPr>
            </w:pPr>
            <w:r w:rsidRPr="00DA5C3E">
              <w:rPr>
                <w:rFonts w:ascii="Times New Roman" w:hAnsi="Times New Roman" w:cs="Times New Roman"/>
                <w:sz w:val="24"/>
                <w:szCs w:val="24"/>
              </w:rPr>
              <w:t>x</w:t>
            </w:r>
          </w:p>
        </w:tc>
        <w:tc>
          <w:tcPr>
            <w:tcW w:w="810" w:type="dxa"/>
          </w:tcPr>
          <w:p w14:paraId="7F780409" w14:textId="77777777" w:rsidR="007E1B0B" w:rsidRPr="000D3717" w:rsidRDefault="007E1B0B" w:rsidP="008D7069">
            <w:pPr>
              <w:rPr>
                <w:rFonts w:ascii="Times New Roman" w:hAnsi="Times New Roman" w:cs="Times New Roman"/>
                <w:sz w:val="24"/>
                <w:szCs w:val="24"/>
              </w:rPr>
            </w:pPr>
          </w:p>
        </w:tc>
        <w:tc>
          <w:tcPr>
            <w:tcW w:w="2430" w:type="dxa"/>
          </w:tcPr>
          <w:p w14:paraId="3A3FD7A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3E415B1E" w14:textId="77777777" w:rsidR="007E1B0B" w:rsidRPr="000D3717" w:rsidRDefault="007E1B0B" w:rsidP="008D7069">
            <w:pPr>
              <w:rPr>
                <w:rFonts w:ascii="Times New Roman" w:hAnsi="Times New Roman" w:cs="Times New Roman"/>
                <w:sz w:val="24"/>
                <w:szCs w:val="24"/>
              </w:rPr>
            </w:pPr>
          </w:p>
        </w:tc>
        <w:tc>
          <w:tcPr>
            <w:tcW w:w="2610" w:type="dxa"/>
            <w:gridSpan w:val="2"/>
          </w:tcPr>
          <w:p w14:paraId="6C5156E0" w14:textId="77777777" w:rsidR="007E1B0B" w:rsidRPr="000D3717" w:rsidRDefault="007E1B0B" w:rsidP="008D7069">
            <w:pPr>
              <w:rPr>
                <w:rFonts w:ascii="Times New Roman" w:hAnsi="Times New Roman" w:cs="Times New Roman"/>
                <w:sz w:val="24"/>
                <w:szCs w:val="24"/>
              </w:rPr>
            </w:pPr>
          </w:p>
        </w:tc>
      </w:tr>
      <w:tr w:rsidR="007E1B0B" w:rsidRPr="000D3717" w14:paraId="0CCECA53" w14:textId="77777777" w:rsidTr="00494035">
        <w:tc>
          <w:tcPr>
            <w:tcW w:w="1710" w:type="dxa"/>
            <w:vMerge w:val="restart"/>
          </w:tcPr>
          <w:p w14:paraId="267577F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Transporti</w:t>
            </w:r>
          </w:p>
        </w:tc>
        <w:tc>
          <w:tcPr>
            <w:tcW w:w="4050" w:type="dxa"/>
          </w:tcPr>
          <w:p w14:paraId="03874C8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ketë efekt në mënyrën e transportit të pasagjerëve dhe/ose mallrave? </w:t>
            </w:r>
          </w:p>
        </w:tc>
        <w:tc>
          <w:tcPr>
            <w:tcW w:w="810" w:type="dxa"/>
          </w:tcPr>
          <w:p w14:paraId="78902ADD" w14:textId="77777777" w:rsidR="007E1B0B" w:rsidRPr="000D3717" w:rsidRDefault="007E1B0B" w:rsidP="008D7069">
            <w:pPr>
              <w:rPr>
                <w:rFonts w:ascii="Times New Roman" w:hAnsi="Times New Roman" w:cs="Times New Roman"/>
                <w:sz w:val="24"/>
                <w:szCs w:val="24"/>
              </w:rPr>
            </w:pPr>
          </w:p>
        </w:tc>
        <w:tc>
          <w:tcPr>
            <w:tcW w:w="810" w:type="dxa"/>
          </w:tcPr>
          <w:p w14:paraId="4DC94D3B" w14:textId="7FA9AEAB" w:rsidR="007E1B0B" w:rsidRPr="000D3717" w:rsidRDefault="007E1B0B" w:rsidP="008D7069">
            <w:pPr>
              <w:rPr>
                <w:rFonts w:ascii="Times New Roman" w:hAnsi="Times New Roman" w:cs="Times New Roman"/>
                <w:sz w:val="24"/>
                <w:szCs w:val="24"/>
              </w:rPr>
            </w:pPr>
            <w:r w:rsidRPr="0021748C">
              <w:rPr>
                <w:rFonts w:ascii="Times New Roman" w:hAnsi="Times New Roman" w:cs="Times New Roman"/>
                <w:sz w:val="24"/>
                <w:szCs w:val="24"/>
              </w:rPr>
              <w:t>x</w:t>
            </w:r>
          </w:p>
        </w:tc>
        <w:tc>
          <w:tcPr>
            <w:tcW w:w="2430" w:type="dxa"/>
          </w:tcPr>
          <w:p w14:paraId="3EA4AE78" w14:textId="77777777" w:rsidR="007E1B0B" w:rsidRPr="000D3717" w:rsidRDefault="007E1B0B" w:rsidP="008D7069">
            <w:pPr>
              <w:rPr>
                <w:rFonts w:ascii="Times New Roman" w:hAnsi="Times New Roman" w:cs="Times New Roman"/>
                <w:sz w:val="24"/>
                <w:szCs w:val="24"/>
              </w:rPr>
            </w:pPr>
          </w:p>
        </w:tc>
        <w:tc>
          <w:tcPr>
            <w:tcW w:w="1620" w:type="dxa"/>
          </w:tcPr>
          <w:p w14:paraId="4EC609DC" w14:textId="77777777" w:rsidR="007E1B0B" w:rsidRPr="000D3717" w:rsidRDefault="007E1B0B" w:rsidP="008D7069">
            <w:pPr>
              <w:rPr>
                <w:rFonts w:ascii="Times New Roman" w:hAnsi="Times New Roman" w:cs="Times New Roman"/>
                <w:sz w:val="24"/>
                <w:szCs w:val="24"/>
              </w:rPr>
            </w:pPr>
          </w:p>
        </w:tc>
        <w:tc>
          <w:tcPr>
            <w:tcW w:w="2610" w:type="dxa"/>
            <w:gridSpan w:val="2"/>
          </w:tcPr>
          <w:p w14:paraId="1E7515B7" w14:textId="77777777" w:rsidR="007E1B0B" w:rsidRPr="000D3717" w:rsidRDefault="007E1B0B" w:rsidP="008D7069">
            <w:pPr>
              <w:rPr>
                <w:rFonts w:ascii="Times New Roman" w:hAnsi="Times New Roman" w:cs="Times New Roman"/>
                <w:sz w:val="24"/>
                <w:szCs w:val="24"/>
              </w:rPr>
            </w:pPr>
          </w:p>
        </w:tc>
      </w:tr>
      <w:tr w:rsidR="007E1B0B" w:rsidRPr="000D3717" w14:paraId="2536910D" w14:textId="77777777" w:rsidTr="00494035">
        <w:tc>
          <w:tcPr>
            <w:tcW w:w="1710" w:type="dxa"/>
            <w:vMerge/>
          </w:tcPr>
          <w:p w14:paraId="74349882" w14:textId="77777777" w:rsidR="007E1B0B" w:rsidRPr="000D3717" w:rsidRDefault="007E1B0B" w:rsidP="008D7069">
            <w:pPr>
              <w:rPr>
                <w:rFonts w:ascii="Times New Roman" w:hAnsi="Times New Roman" w:cs="Times New Roman"/>
                <w:sz w:val="24"/>
                <w:szCs w:val="24"/>
              </w:rPr>
            </w:pPr>
          </w:p>
        </w:tc>
        <w:tc>
          <w:tcPr>
            <w:tcW w:w="4050" w:type="dxa"/>
          </w:tcPr>
          <w:p w14:paraId="20CBA29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ndryshim në kohën e nevojshme për të transportuar pasagjerë dhe/ose mallra?</w:t>
            </w:r>
          </w:p>
        </w:tc>
        <w:tc>
          <w:tcPr>
            <w:tcW w:w="810" w:type="dxa"/>
          </w:tcPr>
          <w:p w14:paraId="3F2891E2" w14:textId="77777777" w:rsidR="007E1B0B" w:rsidRPr="000D3717" w:rsidRDefault="007E1B0B" w:rsidP="008D7069">
            <w:pPr>
              <w:rPr>
                <w:rFonts w:ascii="Times New Roman" w:hAnsi="Times New Roman" w:cs="Times New Roman"/>
                <w:sz w:val="24"/>
                <w:szCs w:val="24"/>
              </w:rPr>
            </w:pPr>
          </w:p>
        </w:tc>
        <w:tc>
          <w:tcPr>
            <w:tcW w:w="810" w:type="dxa"/>
          </w:tcPr>
          <w:p w14:paraId="12715296" w14:textId="075A6249" w:rsidR="007E1B0B" w:rsidRPr="000D3717" w:rsidRDefault="007E1B0B" w:rsidP="008D7069">
            <w:pPr>
              <w:rPr>
                <w:rFonts w:ascii="Times New Roman" w:hAnsi="Times New Roman" w:cs="Times New Roman"/>
                <w:sz w:val="24"/>
                <w:szCs w:val="24"/>
              </w:rPr>
            </w:pPr>
            <w:r w:rsidRPr="0021748C">
              <w:rPr>
                <w:rFonts w:ascii="Times New Roman" w:hAnsi="Times New Roman" w:cs="Times New Roman"/>
                <w:sz w:val="24"/>
                <w:szCs w:val="24"/>
              </w:rPr>
              <w:t>x</w:t>
            </w:r>
          </w:p>
        </w:tc>
        <w:tc>
          <w:tcPr>
            <w:tcW w:w="2430" w:type="dxa"/>
          </w:tcPr>
          <w:p w14:paraId="207A02E9" w14:textId="77777777" w:rsidR="007E1B0B" w:rsidRPr="000D3717" w:rsidRDefault="007E1B0B" w:rsidP="008D7069">
            <w:pPr>
              <w:rPr>
                <w:rFonts w:ascii="Times New Roman" w:hAnsi="Times New Roman" w:cs="Times New Roman"/>
                <w:sz w:val="24"/>
                <w:szCs w:val="24"/>
              </w:rPr>
            </w:pPr>
          </w:p>
        </w:tc>
        <w:tc>
          <w:tcPr>
            <w:tcW w:w="1620" w:type="dxa"/>
          </w:tcPr>
          <w:p w14:paraId="03CE63E3" w14:textId="77777777" w:rsidR="007E1B0B" w:rsidRPr="000D3717" w:rsidRDefault="007E1B0B" w:rsidP="008D7069">
            <w:pPr>
              <w:rPr>
                <w:rFonts w:ascii="Times New Roman" w:hAnsi="Times New Roman" w:cs="Times New Roman"/>
                <w:sz w:val="24"/>
                <w:szCs w:val="24"/>
              </w:rPr>
            </w:pPr>
          </w:p>
        </w:tc>
        <w:tc>
          <w:tcPr>
            <w:tcW w:w="2610" w:type="dxa"/>
            <w:gridSpan w:val="2"/>
          </w:tcPr>
          <w:p w14:paraId="1FDABAA2" w14:textId="77777777" w:rsidR="007E1B0B" w:rsidRPr="000D3717" w:rsidRDefault="007E1B0B" w:rsidP="008D7069">
            <w:pPr>
              <w:rPr>
                <w:rFonts w:ascii="Times New Roman" w:hAnsi="Times New Roman" w:cs="Times New Roman"/>
                <w:sz w:val="24"/>
                <w:szCs w:val="24"/>
              </w:rPr>
            </w:pPr>
          </w:p>
        </w:tc>
      </w:tr>
      <w:tr w:rsidR="00DF2517" w:rsidRPr="000D3717" w14:paraId="4FD07284" w14:textId="77777777" w:rsidTr="00494035">
        <w:tc>
          <w:tcPr>
            <w:tcW w:w="1710" w:type="dxa"/>
            <w:vMerge w:val="restart"/>
          </w:tcPr>
          <w:p w14:paraId="39675C0A" w14:textId="77777777" w:rsidR="00DF2517" w:rsidRPr="000D3717" w:rsidRDefault="00DF2517" w:rsidP="00CA3BF1">
            <w:pPr>
              <w:rPr>
                <w:rFonts w:ascii="Times New Roman" w:hAnsi="Times New Roman" w:cs="Times New Roman"/>
                <w:sz w:val="24"/>
                <w:szCs w:val="24"/>
              </w:rPr>
            </w:pPr>
            <w:r w:rsidRPr="000D3717">
              <w:rPr>
                <w:rFonts w:ascii="Times New Roman" w:hAnsi="Times New Roman" w:cs="Times New Roman"/>
                <w:sz w:val="24"/>
                <w:szCs w:val="24"/>
              </w:rPr>
              <w:t>Invest</w:t>
            </w:r>
            <w:r w:rsidR="00CA3BF1" w:rsidRPr="000D3717">
              <w:rPr>
                <w:rFonts w:ascii="Times New Roman" w:hAnsi="Times New Roman" w:cs="Times New Roman"/>
                <w:sz w:val="24"/>
                <w:szCs w:val="24"/>
              </w:rPr>
              <w:t>i</w:t>
            </w:r>
            <w:r w:rsidRPr="000D3717">
              <w:rPr>
                <w:rFonts w:ascii="Times New Roman" w:hAnsi="Times New Roman" w:cs="Times New Roman"/>
                <w:sz w:val="24"/>
                <w:szCs w:val="24"/>
              </w:rPr>
              <w:t>met</w:t>
            </w:r>
          </w:p>
        </w:tc>
        <w:tc>
          <w:tcPr>
            <w:tcW w:w="4050" w:type="dxa"/>
          </w:tcPr>
          <w:p w14:paraId="4D42CDF0" w14:textId="77777777" w:rsidR="00DF2517" w:rsidRPr="000D3717" w:rsidRDefault="00B554D8" w:rsidP="008D7069">
            <w:pPr>
              <w:rPr>
                <w:rFonts w:ascii="Times New Roman" w:hAnsi="Times New Roman" w:cs="Times New Roman"/>
                <w:sz w:val="24"/>
                <w:szCs w:val="24"/>
              </w:rPr>
            </w:pPr>
            <w:r w:rsidRPr="000D3717">
              <w:rPr>
                <w:rFonts w:ascii="Times New Roman" w:hAnsi="Times New Roman" w:cs="Times New Roman"/>
                <w:sz w:val="24"/>
                <w:szCs w:val="24"/>
              </w:rPr>
              <w:t>A pritet që kompanitë të investojnë në veprimtari të reja</w:t>
            </w:r>
            <w:r w:rsidR="00DF2517" w:rsidRPr="000D3717">
              <w:rPr>
                <w:rFonts w:ascii="Times New Roman" w:hAnsi="Times New Roman" w:cs="Times New Roman"/>
                <w:sz w:val="24"/>
                <w:szCs w:val="24"/>
              </w:rPr>
              <w:t>?</w:t>
            </w:r>
          </w:p>
        </w:tc>
        <w:tc>
          <w:tcPr>
            <w:tcW w:w="810" w:type="dxa"/>
          </w:tcPr>
          <w:p w14:paraId="16E35605" w14:textId="13774F5F" w:rsidR="00DF2517"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2A67AB86" w14:textId="77777777" w:rsidR="00DF2517" w:rsidRPr="000D3717" w:rsidRDefault="00DF2517" w:rsidP="008D7069">
            <w:pPr>
              <w:rPr>
                <w:rFonts w:ascii="Times New Roman" w:hAnsi="Times New Roman" w:cs="Times New Roman"/>
                <w:sz w:val="24"/>
                <w:szCs w:val="24"/>
              </w:rPr>
            </w:pPr>
          </w:p>
        </w:tc>
        <w:tc>
          <w:tcPr>
            <w:tcW w:w="2430" w:type="dxa"/>
          </w:tcPr>
          <w:p w14:paraId="662C05E0" w14:textId="77777777" w:rsidR="00DF2517" w:rsidRPr="000D3717" w:rsidRDefault="002F22E0"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41EA462E" w14:textId="77777777" w:rsidR="00DF2517" w:rsidRPr="000D3717" w:rsidRDefault="00DF2517" w:rsidP="008D7069">
            <w:pPr>
              <w:rPr>
                <w:rFonts w:ascii="Times New Roman" w:hAnsi="Times New Roman" w:cs="Times New Roman"/>
                <w:sz w:val="24"/>
                <w:szCs w:val="24"/>
              </w:rPr>
            </w:pPr>
          </w:p>
        </w:tc>
        <w:tc>
          <w:tcPr>
            <w:tcW w:w="2610" w:type="dxa"/>
            <w:gridSpan w:val="2"/>
          </w:tcPr>
          <w:p w14:paraId="53932A73" w14:textId="77777777" w:rsidR="00DF2517" w:rsidRPr="000D3717" w:rsidRDefault="00DF2517" w:rsidP="008D7069">
            <w:pPr>
              <w:rPr>
                <w:rFonts w:ascii="Times New Roman" w:hAnsi="Times New Roman" w:cs="Times New Roman"/>
                <w:sz w:val="24"/>
                <w:szCs w:val="24"/>
              </w:rPr>
            </w:pPr>
          </w:p>
        </w:tc>
      </w:tr>
      <w:tr w:rsidR="00DF2517" w:rsidRPr="000D3717" w14:paraId="1A7CB9FA" w14:textId="77777777" w:rsidTr="00494035">
        <w:tc>
          <w:tcPr>
            <w:tcW w:w="1710" w:type="dxa"/>
            <w:vMerge/>
          </w:tcPr>
          <w:p w14:paraId="0AC60BA5" w14:textId="77777777" w:rsidR="00DF2517" w:rsidRPr="000D3717" w:rsidRDefault="00DF2517" w:rsidP="008D7069">
            <w:pPr>
              <w:rPr>
                <w:rFonts w:ascii="Times New Roman" w:hAnsi="Times New Roman" w:cs="Times New Roman"/>
                <w:sz w:val="24"/>
                <w:szCs w:val="24"/>
              </w:rPr>
            </w:pPr>
          </w:p>
        </w:tc>
        <w:tc>
          <w:tcPr>
            <w:tcW w:w="4050" w:type="dxa"/>
          </w:tcPr>
          <w:p w14:paraId="6AB97CAD" w14:textId="77777777" w:rsidR="00DF2517" w:rsidRPr="000D3717" w:rsidRDefault="00B554D8" w:rsidP="008D7069">
            <w:pPr>
              <w:rPr>
                <w:rFonts w:ascii="Times New Roman" w:hAnsi="Times New Roman" w:cs="Times New Roman"/>
                <w:sz w:val="24"/>
                <w:szCs w:val="24"/>
              </w:rPr>
            </w:pPr>
            <w:r w:rsidRPr="000D3717">
              <w:rPr>
                <w:rFonts w:ascii="Times New Roman" w:hAnsi="Times New Roman" w:cs="Times New Roman"/>
                <w:sz w:val="24"/>
                <w:szCs w:val="24"/>
              </w:rPr>
              <w:t>A pritet që kompanitë t'i anulojnë ose shtyjnë për më vonë investimet</w:t>
            </w:r>
            <w:r w:rsidR="00DF2517" w:rsidRPr="000D3717">
              <w:rPr>
                <w:rFonts w:ascii="Times New Roman" w:hAnsi="Times New Roman" w:cs="Times New Roman"/>
                <w:sz w:val="24"/>
                <w:szCs w:val="24"/>
              </w:rPr>
              <w:t>?</w:t>
            </w:r>
          </w:p>
        </w:tc>
        <w:tc>
          <w:tcPr>
            <w:tcW w:w="810" w:type="dxa"/>
          </w:tcPr>
          <w:p w14:paraId="68F0DA7A" w14:textId="77777777" w:rsidR="00DF2517" w:rsidRPr="000D3717" w:rsidRDefault="00DF2517" w:rsidP="008D7069">
            <w:pPr>
              <w:rPr>
                <w:rFonts w:ascii="Times New Roman" w:hAnsi="Times New Roman" w:cs="Times New Roman"/>
                <w:sz w:val="24"/>
                <w:szCs w:val="24"/>
              </w:rPr>
            </w:pPr>
          </w:p>
        </w:tc>
        <w:tc>
          <w:tcPr>
            <w:tcW w:w="810" w:type="dxa"/>
          </w:tcPr>
          <w:p w14:paraId="7AFA6E28" w14:textId="77777777" w:rsidR="00DF2517" w:rsidRPr="000D3717" w:rsidRDefault="00DF2517" w:rsidP="008D7069">
            <w:pPr>
              <w:rPr>
                <w:rFonts w:ascii="Times New Roman" w:hAnsi="Times New Roman" w:cs="Times New Roman"/>
                <w:sz w:val="24"/>
                <w:szCs w:val="24"/>
              </w:rPr>
            </w:pPr>
          </w:p>
        </w:tc>
        <w:tc>
          <w:tcPr>
            <w:tcW w:w="2430" w:type="dxa"/>
          </w:tcPr>
          <w:p w14:paraId="7460EDB0" w14:textId="77777777" w:rsidR="00DF2517" w:rsidRPr="000D3717" w:rsidRDefault="00DF2517" w:rsidP="008D7069">
            <w:pPr>
              <w:rPr>
                <w:rFonts w:ascii="Times New Roman" w:hAnsi="Times New Roman" w:cs="Times New Roman"/>
                <w:sz w:val="24"/>
                <w:szCs w:val="24"/>
              </w:rPr>
            </w:pPr>
          </w:p>
        </w:tc>
        <w:tc>
          <w:tcPr>
            <w:tcW w:w="1620" w:type="dxa"/>
          </w:tcPr>
          <w:p w14:paraId="458B6E33" w14:textId="77777777" w:rsidR="00DF2517" w:rsidRPr="000D3717" w:rsidRDefault="00DF2517" w:rsidP="008D7069">
            <w:pPr>
              <w:rPr>
                <w:rFonts w:ascii="Times New Roman" w:hAnsi="Times New Roman" w:cs="Times New Roman"/>
                <w:sz w:val="24"/>
                <w:szCs w:val="24"/>
              </w:rPr>
            </w:pPr>
          </w:p>
        </w:tc>
        <w:tc>
          <w:tcPr>
            <w:tcW w:w="2610" w:type="dxa"/>
            <w:gridSpan w:val="2"/>
          </w:tcPr>
          <w:p w14:paraId="110F7EB6" w14:textId="77777777" w:rsidR="00DF2517" w:rsidRPr="000D3717" w:rsidRDefault="00DF2517" w:rsidP="008D7069">
            <w:pPr>
              <w:rPr>
                <w:rFonts w:ascii="Times New Roman" w:hAnsi="Times New Roman" w:cs="Times New Roman"/>
                <w:sz w:val="24"/>
                <w:szCs w:val="24"/>
              </w:rPr>
            </w:pPr>
          </w:p>
        </w:tc>
      </w:tr>
      <w:tr w:rsidR="00DF2517" w:rsidRPr="000D3717" w14:paraId="270E9A13" w14:textId="77777777" w:rsidTr="00494035">
        <w:tc>
          <w:tcPr>
            <w:tcW w:w="1710" w:type="dxa"/>
            <w:vMerge/>
          </w:tcPr>
          <w:p w14:paraId="3DF76597" w14:textId="77777777" w:rsidR="00DF2517" w:rsidRPr="000D3717" w:rsidRDefault="00DF2517" w:rsidP="008D7069">
            <w:pPr>
              <w:rPr>
                <w:rFonts w:ascii="Times New Roman" w:hAnsi="Times New Roman" w:cs="Times New Roman"/>
                <w:sz w:val="24"/>
                <w:szCs w:val="24"/>
              </w:rPr>
            </w:pPr>
          </w:p>
        </w:tc>
        <w:tc>
          <w:tcPr>
            <w:tcW w:w="4050" w:type="dxa"/>
          </w:tcPr>
          <w:p w14:paraId="57012D6B" w14:textId="77777777" w:rsidR="00DF2517" w:rsidRPr="000D3717" w:rsidRDefault="00B554D8" w:rsidP="008D7069">
            <w:pPr>
              <w:rPr>
                <w:rFonts w:ascii="Times New Roman" w:hAnsi="Times New Roman" w:cs="Times New Roman"/>
                <w:sz w:val="24"/>
                <w:szCs w:val="24"/>
              </w:rPr>
            </w:pPr>
            <w:r w:rsidRPr="000D3717">
              <w:rPr>
                <w:rFonts w:ascii="Times New Roman" w:hAnsi="Times New Roman" w:cs="Times New Roman"/>
                <w:sz w:val="24"/>
                <w:szCs w:val="24"/>
              </w:rPr>
              <w:t>A do të rriten investimet nga diaspora</w:t>
            </w:r>
            <w:r w:rsidR="00DF2517" w:rsidRPr="000D3717">
              <w:rPr>
                <w:rFonts w:ascii="Times New Roman" w:hAnsi="Times New Roman" w:cs="Times New Roman"/>
                <w:sz w:val="24"/>
                <w:szCs w:val="24"/>
              </w:rPr>
              <w:t xml:space="preserve">? </w:t>
            </w:r>
          </w:p>
        </w:tc>
        <w:tc>
          <w:tcPr>
            <w:tcW w:w="810" w:type="dxa"/>
          </w:tcPr>
          <w:p w14:paraId="63383A5C" w14:textId="77777777" w:rsidR="00DF2517" w:rsidRPr="000D3717" w:rsidRDefault="00DF2517" w:rsidP="008D7069">
            <w:pPr>
              <w:rPr>
                <w:rFonts w:ascii="Times New Roman" w:hAnsi="Times New Roman" w:cs="Times New Roman"/>
                <w:sz w:val="24"/>
                <w:szCs w:val="24"/>
              </w:rPr>
            </w:pPr>
          </w:p>
        </w:tc>
        <w:tc>
          <w:tcPr>
            <w:tcW w:w="810" w:type="dxa"/>
          </w:tcPr>
          <w:p w14:paraId="7F23C91D" w14:textId="77777777" w:rsidR="00DF2517" w:rsidRPr="000D3717" w:rsidRDefault="00DF2517" w:rsidP="008D7069">
            <w:pPr>
              <w:rPr>
                <w:rFonts w:ascii="Times New Roman" w:hAnsi="Times New Roman" w:cs="Times New Roman"/>
                <w:sz w:val="24"/>
                <w:szCs w:val="24"/>
              </w:rPr>
            </w:pPr>
          </w:p>
        </w:tc>
        <w:tc>
          <w:tcPr>
            <w:tcW w:w="2430" w:type="dxa"/>
          </w:tcPr>
          <w:p w14:paraId="1AE75ABE" w14:textId="77777777" w:rsidR="00DF2517" w:rsidRPr="000D3717" w:rsidRDefault="00DF2517" w:rsidP="008D7069">
            <w:pPr>
              <w:rPr>
                <w:rFonts w:ascii="Times New Roman" w:hAnsi="Times New Roman" w:cs="Times New Roman"/>
                <w:sz w:val="24"/>
                <w:szCs w:val="24"/>
              </w:rPr>
            </w:pPr>
          </w:p>
        </w:tc>
        <w:tc>
          <w:tcPr>
            <w:tcW w:w="1620" w:type="dxa"/>
          </w:tcPr>
          <w:p w14:paraId="3890F295" w14:textId="77777777" w:rsidR="00DF2517" w:rsidRPr="000D3717" w:rsidRDefault="00DF2517" w:rsidP="008D7069">
            <w:pPr>
              <w:rPr>
                <w:rFonts w:ascii="Times New Roman" w:hAnsi="Times New Roman" w:cs="Times New Roman"/>
                <w:sz w:val="24"/>
                <w:szCs w:val="24"/>
              </w:rPr>
            </w:pPr>
          </w:p>
        </w:tc>
        <w:tc>
          <w:tcPr>
            <w:tcW w:w="2610" w:type="dxa"/>
            <w:gridSpan w:val="2"/>
          </w:tcPr>
          <w:p w14:paraId="2BB70384" w14:textId="77777777" w:rsidR="00DF2517" w:rsidRPr="000D3717" w:rsidRDefault="00DF2517" w:rsidP="008D7069">
            <w:pPr>
              <w:rPr>
                <w:rFonts w:ascii="Times New Roman" w:hAnsi="Times New Roman" w:cs="Times New Roman"/>
                <w:sz w:val="24"/>
                <w:szCs w:val="24"/>
              </w:rPr>
            </w:pPr>
          </w:p>
        </w:tc>
      </w:tr>
      <w:tr w:rsidR="00DF2517" w:rsidRPr="000D3717" w14:paraId="01697DE5" w14:textId="77777777" w:rsidTr="00494035">
        <w:tc>
          <w:tcPr>
            <w:tcW w:w="1710" w:type="dxa"/>
            <w:vMerge/>
          </w:tcPr>
          <w:p w14:paraId="76398A70" w14:textId="77777777" w:rsidR="00DF2517" w:rsidRPr="000D3717" w:rsidRDefault="00DF2517" w:rsidP="008D7069">
            <w:pPr>
              <w:rPr>
                <w:rFonts w:ascii="Times New Roman" w:hAnsi="Times New Roman" w:cs="Times New Roman"/>
                <w:sz w:val="24"/>
                <w:szCs w:val="24"/>
              </w:rPr>
            </w:pPr>
          </w:p>
        </w:tc>
        <w:tc>
          <w:tcPr>
            <w:tcW w:w="4050" w:type="dxa"/>
          </w:tcPr>
          <w:p w14:paraId="1880EC17" w14:textId="77777777" w:rsidR="00DF2517" w:rsidRPr="000D3717" w:rsidRDefault="00B554D8" w:rsidP="008D7069">
            <w:pPr>
              <w:rPr>
                <w:rFonts w:ascii="Times New Roman" w:hAnsi="Times New Roman" w:cs="Times New Roman"/>
                <w:sz w:val="24"/>
                <w:szCs w:val="24"/>
              </w:rPr>
            </w:pPr>
            <w:r w:rsidRPr="000D3717">
              <w:rPr>
                <w:rFonts w:ascii="Times New Roman" w:hAnsi="Times New Roman" w:cs="Times New Roman"/>
                <w:sz w:val="24"/>
                <w:szCs w:val="24"/>
              </w:rPr>
              <w:t>A do të zvogëlohen investimet nga diaspora</w:t>
            </w:r>
            <w:r w:rsidR="00DF2517" w:rsidRPr="000D3717">
              <w:rPr>
                <w:rFonts w:ascii="Times New Roman" w:hAnsi="Times New Roman" w:cs="Times New Roman"/>
                <w:sz w:val="24"/>
                <w:szCs w:val="24"/>
              </w:rPr>
              <w:t>?</w:t>
            </w:r>
          </w:p>
        </w:tc>
        <w:tc>
          <w:tcPr>
            <w:tcW w:w="810" w:type="dxa"/>
          </w:tcPr>
          <w:p w14:paraId="24EDFC82" w14:textId="77777777" w:rsidR="00DF2517" w:rsidRPr="000D3717" w:rsidRDefault="00DF2517" w:rsidP="008D7069">
            <w:pPr>
              <w:rPr>
                <w:rFonts w:ascii="Times New Roman" w:hAnsi="Times New Roman" w:cs="Times New Roman"/>
                <w:sz w:val="24"/>
                <w:szCs w:val="24"/>
              </w:rPr>
            </w:pPr>
          </w:p>
        </w:tc>
        <w:tc>
          <w:tcPr>
            <w:tcW w:w="810" w:type="dxa"/>
          </w:tcPr>
          <w:p w14:paraId="58FCCC02" w14:textId="77777777" w:rsidR="00DF2517" w:rsidRPr="000D3717" w:rsidRDefault="00DF2517" w:rsidP="008D7069">
            <w:pPr>
              <w:rPr>
                <w:rFonts w:ascii="Times New Roman" w:hAnsi="Times New Roman" w:cs="Times New Roman"/>
                <w:sz w:val="24"/>
                <w:szCs w:val="24"/>
              </w:rPr>
            </w:pPr>
          </w:p>
        </w:tc>
        <w:tc>
          <w:tcPr>
            <w:tcW w:w="2430" w:type="dxa"/>
          </w:tcPr>
          <w:p w14:paraId="752B5F2F" w14:textId="77777777" w:rsidR="00DF2517" w:rsidRPr="000D3717" w:rsidRDefault="00DF2517" w:rsidP="008D7069">
            <w:pPr>
              <w:rPr>
                <w:rFonts w:ascii="Times New Roman" w:hAnsi="Times New Roman" w:cs="Times New Roman"/>
                <w:sz w:val="24"/>
                <w:szCs w:val="24"/>
              </w:rPr>
            </w:pPr>
          </w:p>
        </w:tc>
        <w:tc>
          <w:tcPr>
            <w:tcW w:w="1620" w:type="dxa"/>
          </w:tcPr>
          <w:p w14:paraId="1BEF94F3" w14:textId="77777777" w:rsidR="00DF2517" w:rsidRPr="000D3717" w:rsidRDefault="00DF2517" w:rsidP="008D7069">
            <w:pPr>
              <w:rPr>
                <w:rFonts w:ascii="Times New Roman" w:hAnsi="Times New Roman" w:cs="Times New Roman"/>
                <w:sz w:val="24"/>
                <w:szCs w:val="24"/>
              </w:rPr>
            </w:pPr>
          </w:p>
        </w:tc>
        <w:tc>
          <w:tcPr>
            <w:tcW w:w="2610" w:type="dxa"/>
            <w:gridSpan w:val="2"/>
          </w:tcPr>
          <w:p w14:paraId="5131DFF4" w14:textId="77777777" w:rsidR="00DF2517" w:rsidRPr="000D3717" w:rsidRDefault="00DF2517" w:rsidP="008D7069">
            <w:pPr>
              <w:rPr>
                <w:rFonts w:ascii="Times New Roman" w:hAnsi="Times New Roman" w:cs="Times New Roman"/>
                <w:sz w:val="24"/>
                <w:szCs w:val="24"/>
              </w:rPr>
            </w:pPr>
          </w:p>
        </w:tc>
      </w:tr>
      <w:tr w:rsidR="00DF2517" w:rsidRPr="000D3717" w14:paraId="5711F930" w14:textId="77777777" w:rsidTr="00494035">
        <w:tc>
          <w:tcPr>
            <w:tcW w:w="1710" w:type="dxa"/>
            <w:vMerge/>
          </w:tcPr>
          <w:p w14:paraId="470F5D08" w14:textId="77777777" w:rsidR="00DF2517" w:rsidRPr="000D3717" w:rsidRDefault="00DF2517" w:rsidP="008D7069">
            <w:pPr>
              <w:rPr>
                <w:rFonts w:ascii="Times New Roman" w:hAnsi="Times New Roman" w:cs="Times New Roman"/>
                <w:sz w:val="24"/>
                <w:szCs w:val="24"/>
              </w:rPr>
            </w:pPr>
          </w:p>
        </w:tc>
        <w:tc>
          <w:tcPr>
            <w:tcW w:w="4050" w:type="dxa"/>
          </w:tcPr>
          <w:p w14:paraId="3370E781" w14:textId="77777777" w:rsidR="00DF2517" w:rsidRPr="000D3717" w:rsidRDefault="00B554D8"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rriten investimet e huaja </w:t>
            </w:r>
            <w:proofErr w:type="spellStart"/>
            <w:r w:rsidRPr="000D3717">
              <w:rPr>
                <w:rFonts w:ascii="Times New Roman" w:hAnsi="Times New Roman" w:cs="Times New Roman"/>
                <w:sz w:val="24"/>
                <w:szCs w:val="24"/>
              </w:rPr>
              <w:t>direkte</w:t>
            </w:r>
            <w:proofErr w:type="spellEnd"/>
            <w:r w:rsidR="00DF2517" w:rsidRPr="000D3717">
              <w:rPr>
                <w:rFonts w:ascii="Times New Roman" w:hAnsi="Times New Roman" w:cs="Times New Roman"/>
                <w:sz w:val="24"/>
                <w:szCs w:val="24"/>
              </w:rPr>
              <w:t>?</w:t>
            </w:r>
          </w:p>
        </w:tc>
        <w:tc>
          <w:tcPr>
            <w:tcW w:w="810" w:type="dxa"/>
          </w:tcPr>
          <w:p w14:paraId="0D6E1EE0" w14:textId="44A05C9F" w:rsidR="00DF2517"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54A33723" w14:textId="77777777" w:rsidR="00DF2517" w:rsidRPr="000D3717" w:rsidRDefault="00DF2517" w:rsidP="008D7069">
            <w:pPr>
              <w:rPr>
                <w:rFonts w:ascii="Times New Roman" w:hAnsi="Times New Roman" w:cs="Times New Roman"/>
                <w:sz w:val="24"/>
                <w:szCs w:val="24"/>
              </w:rPr>
            </w:pPr>
          </w:p>
        </w:tc>
        <w:tc>
          <w:tcPr>
            <w:tcW w:w="2430" w:type="dxa"/>
          </w:tcPr>
          <w:p w14:paraId="148729A9" w14:textId="77777777" w:rsidR="00DF2517" w:rsidRPr="000D3717" w:rsidRDefault="002F22E0"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2055FA1C" w14:textId="77777777" w:rsidR="00DF2517" w:rsidRPr="000D3717" w:rsidRDefault="00DF2517" w:rsidP="008D7069">
            <w:pPr>
              <w:rPr>
                <w:rFonts w:ascii="Times New Roman" w:hAnsi="Times New Roman" w:cs="Times New Roman"/>
                <w:sz w:val="24"/>
                <w:szCs w:val="24"/>
              </w:rPr>
            </w:pPr>
          </w:p>
        </w:tc>
        <w:tc>
          <w:tcPr>
            <w:tcW w:w="2610" w:type="dxa"/>
            <w:gridSpan w:val="2"/>
          </w:tcPr>
          <w:p w14:paraId="1D68C31D" w14:textId="77777777" w:rsidR="00DF2517" w:rsidRPr="000D3717" w:rsidRDefault="00DF2517" w:rsidP="008D7069">
            <w:pPr>
              <w:rPr>
                <w:rFonts w:ascii="Times New Roman" w:hAnsi="Times New Roman" w:cs="Times New Roman"/>
                <w:sz w:val="24"/>
                <w:szCs w:val="24"/>
              </w:rPr>
            </w:pPr>
          </w:p>
        </w:tc>
      </w:tr>
      <w:tr w:rsidR="007E1B0B" w:rsidRPr="000D3717" w14:paraId="3C49C578" w14:textId="77777777" w:rsidTr="00494035">
        <w:tc>
          <w:tcPr>
            <w:tcW w:w="1710" w:type="dxa"/>
            <w:vMerge/>
          </w:tcPr>
          <w:p w14:paraId="6791957B" w14:textId="77777777" w:rsidR="007E1B0B" w:rsidRPr="000D3717" w:rsidRDefault="007E1B0B" w:rsidP="008D7069">
            <w:pPr>
              <w:rPr>
                <w:rFonts w:ascii="Times New Roman" w:hAnsi="Times New Roman" w:cs="Times New Roman"/>
                <w:sz w:val="24"/>
                <w:szCs w:val="24"/>
              </w:rPr>
            </w:pPr>
          </w:p>
        </w:tc>
        <w:tc>
          <w:tcPr>
            <w:tcW w:w="4050" w:type="dxa"/>
          </w:tcPr>
          <w:p w14:paraId="572070D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zvogëlohen investimet e huaja </w:t>
            </w:r>
            <w:proofErr w:type="spellStart"/>
            <w:r w:rsidRPr="000D3717">
              <w:rPr>
                <w:rFonts w:ascii="Times New Roman" w:hAnsi="Times New Roman" w:cs="Times New Roman"/>
                <w:sz w:val="24"/>
                <w:szCs w:val="24"/>
              </w:rPr>
              <w:t>direkte</w:t>
            </w:r>
            <w:proofErr w:type="spellEnd"/>
            <w:r w:rsidRPr="000D3717">
              <w:rPr>
                <w:rFonts w:ascii="Times New Roman" w:hAnsi="Times New Roman" w:cs="Times New Roman"/>
                <w:sz w:val="24"/>
                <w:szCs w:val="24"/>
              </w:rPr>
              <w:t>?</w:t>
            </w:r>
          </w:p>
        </w:tc>
        <w:tc>
          <w:tcPr>
            <w:tcW w:w="810" w:type="dxa"/>
          </w:tcPr>
          <w:p w14:paraId="1296BEAE" w14:textId="77777777" w:rsidR="007E1B0B" w:rsidRPr="000D3717" w:rsidRDefault="007E1B0B" w:rsidP="008D7069">
            <w:pPr>
              <w:rPr>
                <w:rFonts w:ascii="Times New Roman" w:hAnsi="Times New Roman" w:cs="Times New Roman"/>
                <w:sz w:val="24"/>
                <w:szCs w:val="24"/>
              </w:rPr>
            </w:pPr>
          </w:p>
        </w:tc>
        <w:tc>
          <w:tcPr>
            <w:tcW w:w="810" w:type="dxa"/>
          </w:tcPr>
          <w:p w14:paraId="3C1DDE5F" w14:textId="46A11AC0" w:rsidR="007E1B0B" w:rsidRPr="000D3717" w:rsidRDefault="007E1B0B" w:rsidP="008D7069">
            <w:pPr>
              <w:rPr>
                <w:rFonts w:ascii="Times New Roman" w:hAnsi="Times New Roman" w:cs="Times New Roman"/>
                <w:sz w:val="24"/>
                <w:szCs w:val="24"/>
              </w:rPr>
            </w:pPr>
            <w:r w:rsidRPr="00BB0F6E">
              <w:rPr>
                <w:rFonts w:ascii="Times New Roman" w:hAnsi="Times New Roman" w:cs="Times New Roman"/>
                <w:sz w:val="24"/>
                <w:szCs w:val="24"/>
              </w:rPr>
              <w:t>x</w:t>
            </w:r>
          </w:p>
        </w:tc>
        <w:tc>
          <w:tcPr>
            <w:tcW w:w="2430" w:type="dxa"/>
          </w:tcPr>
          <w:p w14:paraId="60E8AF16" w14:textId="77777777" w:rsidR="007E1B0B" w:rsidRPr="000D3717" w:rsidRDefault="007E1B0B" w:rsidP="008D7069">
            <w:pPr>
              <w:rPr>
                <w:rFonts w:ascii="Times New Roman" w:hAnsi="Times New Roman" w:cs="Times New Roman"/>
                <w:sz w:val="24"/>
                <w:szCs w:val="24"/>
              </w:rPr>
            </w:pPr>
          </w:p>
        </w:tc>
        <w:tc>
          <w:tcPr>
            <w:tcW w:w="1620" w:type="dxa"/>
          </w:tcPr>
          <w:p w14:paraId="5991D142" w14:textId="77777777" w:rsidR="007E1B0B" w:rsidRPr="000D3717" w:rsidRDefault="007E1B0B" w:rsidP="008D7069">
            <w:pPr>
              <w:rPr>
                <w:rFonts w:ascii="Times New Roman" w:hAnsi="Times New Roman" w:cs="Times New Roman"/>
                <w:sz w:val="24"/>
                <w:szCs w:val="24"/>
              </w:rPr>
            </w:pPr>
          </w:p>
        </w:tc>
        <w:tc>
          <w:tcPr>
            <w:tcW w:w="2610" w:type="dxa"/>
            <w:gridSpan w:val="2"/>
          </w:tcPr>
          <w:p w14:paraId="4A15AAE4" w14:textId="77777777" w:rsidR="007E1B0B" w:rsidRPr="000D3717" w:rsidRDefault="007E1B0B" w:rsidP="008D7069">
            <w:pPr>
              <w:rPr>
                <w:rFonts w:ascii="Times New Roman" w:hAnsi="Times New Roman" w:cs="Times New Roman"/>
                <w:sz w:val="24"/>
                <w:szCs w:val="24"/>
              </w:rPr>
            </w:pPr>
          </w:p>
        </w:tc>
      </w:tr>
      <w:tr w:rsidR="007E1B0B" w:rsidRPr="000D3717" w14:paraId="211BE41C" w14:textId="77777777" w:rsidTr="00494035">
        <w:tc>
          <w:tcPr>
            <w:tcW w:w="1710" w:type="dxa"/>
            <w:vMerge w:val="restart"/>
          </w:tcPr>
          <w:p w14:paraId="752961DC" w14:textId="77777777" w:rsidR="007E1B0B" w:rsidRPr="000D3717" w:rsidRDefault="007E1B0B" w:rsidP="008D7069">
            <w:pPr>
              <w:rPr>
                <w:rFonts w:ascii="Times New Roman" w:hAnsi="Times New Roman" w:cs="Times New Roman"/>
                <w:sz w:val="24"/>
                <w:szCs w:val="24"/>
              </w:rPr>
            </w:pPr>
            <w:proofErr w:type="spellStart"/>
            <w:r w:rsidRPr="000D3717">
              <w:rPr>
                <w:rFonts w:ascii="Times New Roman" w:hAnsi="Times New Roman" w:cs="Times New Roman"/>
                <w:sz w:val="24"/>
                <w:szCs w:val="24"/>
              </w:rPr>
              <w:t>Konkurrueshmëria</w:t>
            </w:r>
            <w:proofErr w:type="spellEnd"/>
          </w:p>
        </w:tc>
        <w:tc>
          <w:tcPr>
            <w:tcW w:w="4050" w:type="dxa"/>
          </w:tcPr>
          <w:p w14:paraId="4F9C29E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rritet çmimi i biznesit të produkteve, siç është energjia elektrike? </w:t>
            </w:r>
          </w:p>
        </w:tc>
        <w:tc>
          <w:tcPr>
            <w:tcW w:w="810" w:type="dxa"/>
          </w:tcPr>
          <w:p w14:paraId="34FFB1C6" w14:textId="77777777" w:rsidR="007E1B0B" w:rsidRPr="000D3717" w:rsidRDefault="007E1B0B" w:rsidP="008D7069">
            <w:pPr>
              <w:rPr>
                <w:rFonts w:ascii="Times New Roman" w:hAnsi="Times New Roman" w:cs="Times New Roman"/>
                <w:sz w:val="24"/>
                <w:szCs w:val="24"/>
              </w:rPr>
            </w:pPr>
          </w:p>
        </w:tc>
        <w:tc>
          <w:tcPr>
            <w:tcW w:w="810" w:type="dxa"/>
          </w:tcPr>
          <w:p w14:paraId="5053B745" w14:textId="7004B11D" w:rsidR="007E1B0B" w:rsidRPr="000D3717" w:rsidRDefault="007E1B0B" w:rsidP="008D7069">
            <w:pPr>
              <w:rPr>
                <w:rFonts w:ascii="Times New Roman" w:hAnsi="Times New Roman" w:cs="Times New Roman"/>
                <w:sz w:val="24"/>
                <w:szCs w:val="24"/>
              </w:rPr>
            </w:pPr>
            <w:r w:rsidRPr="00BB0F6E">
              <w:rPr>
                <w:rFonts w:ascii="Times New Roman" w:hAnsi="Times New Roman" w:cs="Times New Roman"/>
                <w:sz w:val="24"/>
                <w:szCs w:val="24"/>
              </w:rPr>
              <w:t>x</w:t>
            </w:r>
          </w:p>
        </w:tc>
        <w:tc>
          <w:tcPr>
            <w:tcW w:w="2430" w:type="dxa"/>
          </w:tcPr>
          <w:p w14:paraId="36AAB0B4" w14:textId="77777777" w:rsidR="007E1B0B" w:rsidRPr="000D3717" w:rsidRDefault="007E1B0B" w:rsidP="008D7069">
            <w:pPr>
              <w:rPr>
                <w:rFonts w:ascii="Times New Roman" w:hAnsi="Times New Roman" w:cs="Times New Roman"/>
                <w:sz w:val="24"/>
                <w:szCs w:val="24"/>
              </w:rPr>
            </w:pPr>
          </w:p>
        </w:tc>
        <w:tc>
          <w:tcPr>
            <w:tcW w:w="1620" w:type="dxa"/>
          </w:tcPr>
          <w:p w14:paraId="4D49ACAD" w14:textId="77777777" w:rsidR="007E1B0B" w:rsidRPr="000D3717" w:rsidRDefault="007E1B0B" w:rsidP="008D7069">
            <w:pPr>
              <w:rPr>
                <w:rFonts w:ascii="Times New Roman" w:hAnsi="Times New Roman" w:cs="Times New Roman"/>
                <w:sz w:val="24"/>
                <w:szCs w:val="24"/>
              </w:rPr>
            </w:pPr>
          </w:p>
        </w:tc>
        <w:tc>
          <w:tcPr>
            <w:tcW w:w="2610" w:type="dxa"/>
            <w:gridSpan w:val="2"/>
          </w:tcPr>
          <w:p w14:paraId="1E724709" w14:textId="77777777" w:rsidR="007E1B0B" w:rsidRPr="000D3717" w:rsidRDefault="007E1B0B" w:rsidP="008D7069">
            <w:pPr>
              <w:rPr>
                <w:rFonts w:ascii="Times New Roman" w:hAnsi="Times New Roman" w:cs="Times New Roman"/>
                <w:sz w:val="24"/>
                <w:szCs w:val="24"/>
              </w:rPr>
            </w:pPr>
          </w:p>
        </w:tc>
      </w:tr>
      <w:tr w:rsidR="007E1B0B" w:rsidRPr="000D3717" w14:paraId="14DDB831" w14:textId="77777777" w:rsidTr="00494035">
        <w:tc>
          <w:tcPr>
            <w:tcW w:w="1710" w:type="dxa"/>
            <w:vMerge/>
          </w:tcPr>
          <w:p w14:paraId="460AD6B8" w14:textId="77777777" w:rsidR="007E1B0B" w:rsidRPr="000D3717" w:rsidRDefault="007E1B0B" w:rsidP="008D7069">
            <w:pPr>
              <w:rPr>
                <w:rFonts w:ascii="Times New Roman" w:hAnsi="Times New Roman" w:cs="Times New Roman"/>
                <w:sz w:val="24"/>
                <w:szCs w:val="24"/>
              </w:rPr>
            </w:pPr>
          </w:p>
        </w:tc>
        <w:tc>
          <w:tcPr>
            <w:tcW w:w="4050" w:type="dxa"/>
          </w:tcPr>
          <w:p w14:paraId="28DC34C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ulet çmimi i </w:t>
            </w:r>
            <w:proofErr w:type="spellStart"/>
            <w:r w:rsidRPr="000D3717">
              <w:rPr>
                <w:rFonts w:ascii="Times New Roman" w:hAnsi="Times New Roman" w:cs="Times New Roman"/>
                <w:sz w:val="24"/>
                <w:szCs w:val="24"/>
              </w:rPr>
              <w:t>inputeve</w:t>
            </w:r>
            <w:proofErr w:type="spellEnd"/>
            <w:r w:rsidRPr="000D3717">
              <w:rPr>
                <w:rFonts w:ascii="Times New Roman" w:hAnsi="Times New Roman" w:cs="Times New Roman"/>
                <w:sz w:val="24"/>
                <w:szCs w:val="24"/>
              </w:rPr>
              <w:t xml:space="preserve"> të bizneseve, siç është energjia elektrike?</w:t>
            </w:r>
          </w:p>
        </w:tc>
        <w:tc>
          <w:tcPr>
            <w:tcW w:w="810" w:type="dxa"/>
          </w:tcPr>
          <w:p w14:paraId="22E25BCA" w14:textId="44AD5E0F" w:rsidR="007E1B0B" w:rsidRPr="000D3717" w:rsidRDefault="007E1B0B" w:rsidP="008D7069">
            <w:pPr>
              <w:rPr>
                <w:rFonts w:ascii="Times New Roman" w:hAnsi="Times New Roman" w:cs="Times New Roman"/>
                <w:sz w:val="24"/>
                <w:szCs w:val="24"/>
              </w:rPr>
            </w:pPr>
            <w:r w:rsidRPr="00B2288A">
              <w:rPr>
                <w:rFonts w:ascii="Times New Roman" w:hAnsi="Times New Roman" w:cs="Times New Roman"/>
                <w:sz w:val="24"/>
                <w:szCs w:val="24"/>
              </w:rPr>
              <w:t>x</w:t>
            </w:r>
          </w:p>
        </w:tc>
        <w:tc>
          <w:tcPr>
            <w:tcW w:w="810" w:type="dxa"/>
          </w:tcPr>
          <w:p w14:paraId="60E81A84" w14:textId="77777777" w:rsidR="007E1B0B" w:rsidRPr="000D3717" w:rsidRDefault="007E1B0B" w:rsidP="008D7069">
            <w:pPr>
              <w:rPr>
                <w:rFonts w:ascii="Times New Roman" w:hAnsi="Times New Roman" w:cs="Times New Roman"/>
                <w:sz w:val="24"/>
                <w:szCs w:val="24"/>
              </w:rPr>
            </w:pPr>
          </w:p>
        </w:tc>
        <w:tc>
          <w:tcPr>
            <w:tcW w:w="2430" w:type="dxa"/>
          </w:tcPr>
          <w:p w14:paraId="434E146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25712363" w14:textId="77777777" w:rsidR="007E1B0B" w:rsidRPr="000D3717" w:rsidRDefault="007E1B0B" w:rsidP="008D7069">
            <w:pPr>
              <w:rPr>
                <w:rFonts w:ascii="Times New Roman" w:hAnsi="Times New Roman" w:cs="Times New Roman"/>
                <w:sz w:val="24"/>
                <w:szCs w:val="24"/>
              </w:rPr>
            </w:pPr>
          </w:p>
        </w:tc>
        <w:tc>
          <w:tcPr>
            <w:tcW w:w="2610" w:type="dxa"/>
            <w:gridSpan w:val="2"/>
          </w:tcPr>
          <w:p w14:paraId="00674564" w14:textId="77777777" w:rsidR="007E1B0B" w:rsidRPr="000D3717" w:rsidRDefault="007E1B0B" w:rsidP="008D7069">
            <w:pPr>
              <w:rPr>
                <w:rFonts w:ascii="Times New Roman" w:hAnsi="Times New Roman" w:cs="Times New Roman"/>
                <w:sz w:val="24"/>
                <w:szCs w:val="24"/>
              </w:rPr>
            </w:pPr>
          </w:p>
        </w:tc>
      </w:tr>
      <w:tr w:rsidR="007E1B0B" w:rsidRPr="000D3717" w14:paraId="2284BEB1" w14:textId="77777777" w:rsidTr="00494035">
        <w:tc>
          <w:tcPr>
            <w:tcW w:w="1710" w:type="dxa"/>
            <w:vMerge/>
          </w:tcPr>
          <w:p w14:paraId="18EFDF62" w14:textId="77777777" w:rsidR="007E1B0B" w:rsidRPr="000D3717" w:rsidRDefault="007E1B0B" w:rsidP="008D7069">
            <w:pPr>
              <w:rPr>
                <w:rFonts w:ascii="Times New Roman" w:hAnsi="Times New Roman" w:cs="Times New Roman"/>
                <w:sz w:val="24"/>
                <w:szCs w:val="24"/>
              </w:rPr>
            </w:pPr>
          </w:p>
        </w:tc>
        <w:tc>
          <w:tcPr>
            <w:tcW w:w="4050" w:type="dxa"/>
          </w:tcPr>
          <w:p w14:paraId="4559818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ka gjasa që të promovohen inovacioni dhe hulumtimi?</w:t>
            </w:r>
          </w:p>
        </w:tc>
        <w:tc>
          <w:tcPr>
            <w:tcW w:w="810" w:type="dxa"/>
          </w:tcPr>
          <w:p w14:paraId="15CC1783" w14:textId="389B3965" w:rsidR="007E1B0B" w:rsidRPr="000D3717" w:rsidRDefault="007E1B0B" w:rsidP="008D7069">
            <w:pPr>
              <w:rPr>
                <w:rFonts w:ascii="Times New Roman" w:hAnsi="Times New Roman" w:cs="Times New Roman"/>
                <w:sz w:val="24"/>
                <w:szCs w:val="24"/>
              </w:rPr>
            </w:pPr>
            <w:r w:rsidRPr="00B2288A">
              <w:rPr>
                <w:rFonts w:ascii="Times New Roman" w:hAnsi="Times New Roman" w:cs="Times New Roman"/>
                <w:sz w:val="24"/>
                <w:szCs w:val="24"/>
              </w:rPr>
              <w:t>x</w:t>
            </w:r>
          </w:p>
        </w:tc>
        <w:tc>
          <w:tcPr>
            <w:tcW w:w="810" w:type="dxa"/>
          </w:tcPr>
          <w:p w14:paraId="51AEA9FF" w14:textId="77777777" w:rsidR="007E1B0B" w:rsidRPr="000D3717" w:rsidRDefault="007E1B0B" w:rsidP="008D7069">
            <w:pPr>
              <w:rPr>
                <w:rFonts w:ascii="Times New Roman" w:hAnsi="Times New Roman" w:cs="Times New Roman"/>
                <w:sz w:val="24"/>
                <w:szCs w:val="24"/>
              </w:rPr>
            </w:pPr>
          </w:p>
        </w:tc>
        <w:tc>
          <w:tcPr>
            <w:tcW w:w="2430" w:type="dxa"/>
          </w:tcPr>
          <w:p w14:paraId="34BC785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3D60D614" w14:textId="77777777" w:rsidR="007E1B0B" w:rsidRPr="000D3717" w:rsidRDefault="007E1B0B" w:rsidP="008D7069">
            <w:pPr>
              <w:rPr>
                <w:rFonts w:ascii="Times New Roman" w:hAnsi="Times New Roman" w:cs="Times New Roman"/>
                <w:sz w:val="24"/>
                <w:szCs w:val="24"/>
              </w:rPr>
            </w:pPr>
          </w:p>
        </w:tc>
        <w:tc>
          <w:tcPr>
            <w:tcW w:w="2610" w:type="dxa"/>
            <w:gridSpan w:val="2"/>
          </w:tcPr>
          <w:p w14:paraId="47019382" w14:textId="77777777" w:rsidR="007E1B0B" w:rsidRPr="000D3717" w:rsidRDefault="007E1B0B" w:rsidP="008D7069">
            <w:pPr>
              <w:rPr>
                <w:rFonts w:ascii="Times New Roman" w:hAnsi="Times New Roman" w:cs="Times New Roman"/>
                <w:sz w:val="24"/>
                <w:szCs w:val="24"/>
              </w:rPr>
            </w:pPr>
          </w:p>
        </w:tc>
      </w:tr>
      <w:tr w:rsidR="00DF2517" w:rsidRPr="000D3717" w14:paraId="6E686E85" w14:textId="77777777" w:rsidTr="00494035">
        <w:tc>
          <w:tcPr>
            <w:tcW w:w="1710" w:type="dxa"/>
            <w:vMerge/>
          </w:tcPr>
          <w:p w14:paraId="59944552" w14:textId="77777777" w:rsidR="00DF2517" w:rsidRPr="000D3717" w:rsidRDefault="00DF2517" w:rsidP="008D7069">
            <w:pPr>
              <w:rPr>
                <w:rFonts w:ascii="Times New Roman" w:hAnsi="Times New Roman" w:cs="Times New Roman"/>
                <w:sz w:val="24"/>
                <w:szCs w:val="24"/>
              </w:rPr>
            </w:pPr>
          </w:p>
        </w:tc>
        <w:tc>
          <w:tcPr>
            <w:tcW w:w="4050" w:type="dxa"/>
          </w:tcPr>
          <w:p w14:paraId="28343D65" w14:textId="77777777" w:rsidR="00DF2517" w:rsidRPr="000D3717" w:rsidRDefault="00F51BA0" w:rsidP="008D7069">
            <w:pPr>
              <w:rPr>
                <w:rFonts w:ascii="Times New Roman" w:hAnsi="Times New Roman" w:cs="Times New Roman"/>
                <w:sz w:val="24"/>
                <w:szCs w:val="24"/>
              </w:rPr>
            </w:pPr>
            <w:r w:rsidRPr="000D3717">
              <w:rPr>
                <w:rFonts w:ascii="Times New Roman" w:hAnsi="Times New Roman" w:cs="Times New Roman"/>
                <w:sz w:val="24"/>
                <w:szCs w:val="24"/>
              </w:rPr>
              <w:t>A ka gjasa që inovacioni dhe hulumtimi të pengohen</w:t>
            </w:r>
            <w:r w:rsidR="00DF2517" w:rsidRPr="000D3717">
              <w:rPr>
                <w:rFonts w:ascii="Times New Roman" w:hAnsi="Times New Roman" w:cs="Times New Roman"/>
                <w:sz w:val="24"/>
                <w:szCs w:val="24"/>
              </w:rPr>
              <w:t>?</w:t>
            </w:r>
          </w:p>
        </w:tc>
        <w:tc>
          <w:tcPr>
            <w:tcW w:w="810" w:type="dxa"/>
          </w:tcPr>
          <w:p w14:paraId="77242707" w14:textId="77777777" w:rsidR="00DF2517" w:rsidRPr="000D3717" w:rsidRDefault="00DF2517" w:rsidP="008D7069">
            <w:pPr>
              <w:rPr>
                <w:rFonts w:ascii="Times New Roman" w:hAnsi="Times New Roman" w:cs="Times New Roman"/>
                <w:sz w:val="24"/>
                <w:szCs w:val="24"/>
              </w:rPr>
            </w:pPr>
          </w:p>
        </w:tc>
        <w:tc>
          <w:tcPr>
            <w:tcW w:w="810" w:type="dxa"/>
          </w:tcPr>
          <w:p w14:paraId="40FA217E" w14:textId="2AAEC25A" w:rsidR="00DF2517"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56E3B29E" w14:textId="77777777" w:rsidR="00DF2517" w:rsidRPr="000D3717" w:rsidRDefault="00DF2517" w:rsidP="008D7069">
            <w:pPr>
              <w:rPr>
                <w:rFonts w:ascii="Times New Roman" w:hAnsi="Times New Roman" w:cs="Times New Roman"/>
                <w:sz w:val="24"/>
                <w:szCs w:val="24"/>
              </w:rPr>
            </w:pPr>
          </w:p>
        </w:tc>
        <w:tc>
          <w:tcPr>
            <w:tcW w:w="1620" w:type="dxa"/>
          </w:tcPr>
          <w:p w14:paraId="78483B0D" w14:textId="77777777" w:rsidR="00DF2517" w:rsidRPr="000D3717" w:rsidRDefault="00DF2517" w:rsidP="008D7069">
            <w:pPr>
              <w:rPr>
                <w:rFonts w:ascii="Times New Roman" w:hAnsi="Times New Roman" w:cs="Times New Roman"/>
                <w:sz w:val="24"/>
                <w:szCs w:val="24"/>
              </w:rPr>
            </w:pPr>
          </w:p>
        </w:tc>
        <w:tc>
          <w:tcPr>
            <w:tcW w:w="2610" w:type="dxa"/>
            <w:gridSpan w:val="2"/>
          </w:tcPr>
          <w:p w14:paraId="060E51E5" w14:textId="77777777" w:rsidR="00DF2517" w:rsidRPr="000D3717" w:rsidRDefault="00DF2517" w:rsidP="008D7069">
            <w:pPr>
              <w:rPr>
                <w:rFonts w:ascii="Times New Roman" w:hAnsi="Times New Roman" w:cs="Times New Roman"/>
                <w:sz w:val="24"/>
                <w:szCs w:val="24"/>
              </w:rPr>
            </w:pPr>
          </w:p>
        </w:tc>
      </w:tr>
      <w:tr w:rsidR="007E1B0B" w:rsidRPr="000D3717" w14:paraId="37D7D59C" w14:textId="77777777" w:rsidTr="00494035">
        <w:tc>
          <w:tcPr>
            <w:tcW w:w="1710" w:type="dxa"/>
          </w:tcPr>
          <w:p w14:paraId="3764C43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lastRenderedPageBreak/>
              <w:t>Ndikimi në NVM</w:t>
            </w:r>
          </w:p>
        </w:tc>
        <w:tc>
          <w:tcPr>
            <w:tcW w:w="4050" w:type="dxa"/>
          </w:tcPr>
          <w:p w14:paraId="2FC8ABBB" w14:textId="77777777" w:rsidR="007E1B0B" w:rsidRPr="000D3717" w:rsidRDefault="007E1B0B" w:rsidP="001768A5">
            <w:pPr>
              <w:rPr>
                <w:rFonts w:ascii="Times New Roman" w:hAnsi="Times New Roman" w:cs="Times New Roman"/>
                <w:sz w:val="24"/>
                <w:szCs w:val="24"/>
              </w:rPr>
            </w:pPr>
            <w:r w:rsidRPr="000D3717">
              <w:rPr>
                <w:rFonts w:ascii="Times New Roman" w:hAnsi="Times New Roman" w:cs="Times New Roman"/>
                <w:sz w:val="24"/>
                <w:szCs w:val="24"/>
              </w:rPr>
              <w:t>A janë kompanitë e prekura kryesisht NVM?</w:t>
            </w:r>
          </w:p>
        </w:tc>
        <w:tc>
          <w:tcPr>
            <w:tcW w:w="810" w:type="dxa"/>
          </w:tcPr>
          <w:p w14:paraId="4070E36D" w14:textId="3D2B87D6" w:rsidR="007E1B0B" w:rsidRPr="000D3717" w:rsidRDefault="007E1B0B" w:rsidP="008D7069">
            <w:pPr>
              <w:rPr>
                <w:rFonts w:ascii="Times New Roman" w:hAnsi="Times New Roman" w:cs="Times New Roman"/>
                <w:sz w:val="24"/>
                <w:szCs w:val="24"/>
              </w:rPr>
            </w:pPr>
            <w:r w:rsidRPr="00D800C5">
              <w:rPr>
                <w:rFonts w:ascii="Times New Roman" w:hAnsi="Times New Roman" w:cs="Times New Roman"/>
                <w:sz w:val="24"/>
                <w:szCs w:val="24"/>
              </w:rPr>
              <w:t>x</w:t>
            </w:r>
          </w:p>
        </w:tc>
        <w:tc>
          <w:tcPr>
            <w:tcW w:w="810" w:type="dxa"/>
          </w:tcPr>
          <w:p w14:paraId="45D192CE" w14:textId="77777777" w:rsidR="007E1B0B" w:rsidRPr="000D3717" w:rsidRDefault="007E1B0B" w:rsidP="008D7069">
            <w:pPr>
              <w:rPr>
                <w:rFonts w:ascii="Times New Roman" w:hAnsi="Times New Roman" w:cs="Times New Roman"/>
                <w:sz w:val="24"/>
                <w:szCs w:val="24"/>
              </w:rPr>
            </w:pPr>
          </w:p>
        </w:tc>
        <w:tc>
          <w:tcPr>
            <w:tcW w:w="2430" w:type="dxa"/>
          </w:tcPr>
          <w:p w14:paraId="13F9CA3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70D08B74" w14:textId="77777777" w:rsidR="007E1B0B" w:rsidRPr="000D3717" w:rsidRDefault="007E1B0B" w:rsidP="008D7069">
            <w:pPr>
              <w:rPr>
                <w:rFonts w:ascii="Times New Roman" w:hAnsi="Times New Roman" w:cs="Times New Roman"/>
                <w:sz w:val="24"/>
                <w:szCs w:val="24"/>
              </w:rPr>
            </w:pPr>
          </w:p>
        </w:tc>
        <w:tc>
          <w:tcPr>
            <w:tcW w:w="2610" w:type="dxa"/>
            <w:gridSpan w:val="2"/>
          </w:tcPr>
          <w:p w14:paraId="0B82E6AB" w14:textId="77777777" w:rsidR="007E1B0B" w:rsidRPr="000D3717" w:rsidRDefault="007E1B0B" w:rsidP="008D7069">
            <w:pPr>
              <w:rPr>
                <w:rFonts w:ascii="Times New Roman" w:hAnsi="Times New Roman" w:cs="Times New Roman"/>
                <w:sz w:val="24"/>
                <w:szCs w:val="24"/>
              </w:rPr>
            </w:pPr>
          </w:p>
        </w:tc>
      </w:tr>
      <w:tr w:rsidR="007E1B0B" w:rsidRPr="000D3717" w14:paraId="3D541824" w14:textId="77777777" w:rsidTr="00494035">
        <w:tc>
          <w:tcPr>
            <w:tcW w:w="1710" w:type="dxa"/>
            <w:vMerge w:val="restart"/>
          </w:tcPr>
          <w:p w14:paraId="6E2A90F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Çmimet dhe konkurrenca</w:t>
            </w:r>
          </w:p>
        </w:tc>
        <w:tc>
          <w:tcPr>
            <w:tcW w:w="4050" w:type="dxa"/>
          </w:tcPr>
          <w:p w14:paraId="7207747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rritet numri i mallrave dhe shërbimeve në dispozicion për biznesin apo konsumatorët? </w:t>
            </w:r>
          </w:p>
        </w:tc>
        <w:tc>
          <w:tcPr>
            <w:tcW w:w="810" w:type="dxa"/>
          </w:tcPr>
          <w:p w14:paraId="230D0B39" w14:textId="082BA3EF" w:rsidR="007E1B0B" w:rsidRPr="000D3717" w:rsidRDefault="007E1B0B" w:rsidP="008D7069">
            <w:pPr>
              <w:rPr>
                <w:rFonts w:ascii="Times New Roman" w:hAnsi="Times New Roman" w:cs="Times New Roman"/>
                <w:sz w:val="24"/>
                <w:szCs w:val="24"/>
              </w:rPr>
            </w:pPr>
            <w:r w:rsidRPr="00D800C5">
              <w:rPr>
                <w:rFonts w:ascii="Times New Roman" w:hAnsi="Times New Roman" w:cs="Times New Roman"/>
                <w:sz w:val="24"/>
                <w:szCs w:val="24"/>
              </w:rPr>
              <w:t>x</w:t>
            </w:r>
          </w:p>
        </w:tc>
        <w:tc>
          <w:tcPr>
            <w:tcW w:w="810" w:type="dxa"/>
          </w:tcPr>
          <w:p w14:paraId="46745084" w14:textId="77777777" w:rsidR="007E1B0B" w:rsidRPr="000D3717" w:rsidRDefault="007E1B0B" w:rsidP="008D7069">
            <w:pPr>
              <w:rPr>
                <w:rFonts w:ascii="Times New Roman" w:hAnsi="Times New Roman" w:cs="Times New Roman"/>
                <w:sz w:val="24"/>
                <w:szCs w:val="24"/>
              </w:rPr>
            </w:pPr>
          </w:p>
        </w:tc>
        <w:tc>
          <w:tcPr>
            <w:tcW w:w="2430" w:type="dxa"/>
          </w:tcPr>
          <w:p w14:paraId="7741A46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2C4C0192" w14:textId="77777777" w:rsidR="007E1B0B" w:rsidRPr="000D3717" w:rsidRDefault="007E1B0B" w:rsidP="008D7069">
            <w:pPr>
              <w:rPr>
                <w:rFonts w:ascii="Times New Roman" w:hAnsi="Times New Roman" w:cs="Times New Roman"/>
                <w:sz w:val="24"/>
                <w:szCs w:val="24"/>
              </w:rPr>
            </w:pPr>
          </w:p>
        </w:tc>
        <w:tc>
          <w:tcPr>
            <w:tcW w:w="2610" w:type="dxa"/>
            <w:gridSpan w:val="2"/>
          </w:tcPr>
          <w:p w14:paraId="7AE4F9E7" w14:textId="77777777" w:rsidR="007E1B0B" w:rsidRPr="000D3717" w:rsidRDefault="007E1B0B" w:rsidP="008D7069">
            <w:pPr>
              <w:rPr>
                <w:rFonts w:ascii="Times New Roman" w:hAnsi="Times New Roman" w:cs="Times New Roman"/>
                <w:sz w:val="24"/>
                <w:szCs w:val="24"/>
              </w:rPr>
            </w:pPr>
          </w:p>
        </w:tc>
      </w:tr>
      <w:tr w:rsidR="007E1B0B" w:rsidRPr="000D3717" w14:paraId="4D437138" w14:textId="77777777" w:rsidTr="00494035">
        <w:tc>
          <w:tcPr>
            <w:tcW w:w="1710" w:type="dxa"/>
            <w:vMerge/>
          </w:tcPr>
          <w:p w14:paraId="5E2EF56B" w14:textId="77777777" w:rsidR="007E1B0B" w:rsidRPr="000D3717" w:rsidRDefault="007E1B0B" w:rsidP="008D7069">
            <w:pPr>
              <w:rPr>
                <w:rFonts w:ascii="Times New Roman" w:hAnsi="Times New Roman" w:cs="Times New Roman"/>
                <w:sz w:val="24"/>
                <w:szCs w:val="24"/>
              </w:rPr>
            </w:pPr>
          </w:p>
        </w:tc>
        <w:tc>
          <w:tcPr>
            <w:tcW w:w="4050" w:type="dxa"/>
          </w:tcPr>
          <w:p w14:paraId="4A89E9A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zvogëlohet numri i mallrave dhe shërbimeve në dispozicion për biznesin apo konsumatorët?</w:t>
            </w:r>
          </w:p>
        </w:tc>
        <w:tc>
          <w:tcPr>
            <w:tcW w:w="810" w:type="dxa"/>
          </w:tcPr>
          <w:p w14:paraId="27D4A493" w14:textId="77777777" w:rsidR="007E1B0B" w:rsidRPr="000D3717" w:rsidRDefault="007E1B0B" w:rsidP="008D7069">
            <w:pPr>
              <w:rPr>
                <w:rFonts w:ascii="Times New Roman" w:hAnsi="Times New Roman" w:cs="Times New Roman"/>
                <w:sz w:val="24"/>
                <w:szCs w:val="24"/>
              </w:rPr>
            </w:pPr>
          </w:p>
        </w:tc>
        <w:tc>
          <w:tcPr>
            <w:tcW w:w="810" w:type="dxa"/>
          </w:tcPr>
          <w:p w14:paraId="23BA6223" w14:textId="7AFA623F" w:rsidR="007E1B0B" w:rsidRPr="000D3717" w:rsidRDefault="007E1B0B" w:rsidP="008D7069">
            <w:pPr>
              <w:rPr>
                <w:rFonts w:ascii="Times New Roman" w:hAnsi="Times New Roman" w:cs="Times New Roman"/>
                <w:sz w:val="24"/>
                <w:szCs w:val="24"/>
              </w:rPr>
            </w:pPr>
            <w:r w:rsidRPr="00B728C3">
              <w:rPr>
                <w:rFonts w:ascii="Times New Roman" w:hAnsi="Times New Roman" w:cs="Times New Roman"/>
                <w:sz w:val="24"/>
                <w:szCs w:val="24"/>
              </w:rPr>
              <w:t>x</w:t>
            </w:r>
          </w:p>
        </w:tc>
        <w:tc>
          <w:tcPr>
            <w:tcW w:w="2430" w:type="dxa"/>
          </w:tcPr>
          <w:p w14:paraId="40539E2C" w14:textId="77777777" w:rsidR="007E1B0B" w:rsidRPr="000D3717" w:rsidRDefault="007E1B0B" w:rsidP="008D7069">
            <w:pPr>
              <w:rPr>
                <w:rFonts w:ascii="Times New Roman" w:hAnsi="Times New Roman" w:cs="Times New Roman"/>
                <w:sz w:val="24"/>
                <w:szCs w:val="24"/>
              </w:rPr>
            </w:pPr>
          </w:p>
        </w:tc>
        <w:tc>
          <w:tcPr>
            <w:tcW w:w="1620" w:type="dxa"/>
          </w:tcPr>
          <w:p w14:paraId="62E7E66F" w14:textId="77777777" w:rsidR="007E1B0B" w:rsidRPr="000D3717" w:rsidRDefault="007E1B0B" w:rsidP="008D7069">
            <w:pPr>
              <w:rPr>
                <w:rFonts w:ascii="Times New Roman" w:hAnsi="Times New Roman" w:cs="Times New Roman"/>
                <w:sz w:val="24"/>
                <w:szCs w:val="24"/>
              </w:rPr>
            </w:pPr>
          </w:p>
        </w:tc>
        <w:tc>
          <w:tcPr>
            <w:tcW w:w="2610" w:type="dxa"/>
            <w:gridSpan w:val="2"/>
          </w:tcPr>
          <w:p w14:paraId="7580121A" w14:textId="77777777" w:rsidR="007E1B0B" w:rsidRPr="000D3717" w:rsidRDefault="007E1B0B" w:rsidP="008D7069">
            <w:pPr>
              <w:rPr>
                <w:rFonts w:ascii="Times New Roman" w:hAnsi="Times New Roman" w:cs="Times New Roman"/>
                <w:sz w:val="24"/>
                <w:szCs w:val="24"/>
              </w:rPr>
            </w:pPr>
          </w:p>
        </w:tc>
      </w:tr>
      <w:tr w:rsidR="007E1B0B" w:rsidRPr="000D3717" w14:paraId="55FCE593" w14:textId="77777777" w:rsidTr="00494035">
        <w:tc>
          <w:tcPr>
            <w:tcW w:w="1710" w:type="dxa"/>
            <w:vMerge/>
          </w:tcPr>
          <w:p w14:paraId="2F5B6243" w14:textId="77777777" w:rsidR="007E1B0B" w:rsidRPr="000D3717" w:rsidRDefault="007E1B0B" w:rsidP="008D7069">
            <w:pPr>
              <w:rPr>
                <w:rFonts w:ascii="Times New Roman" w:hAnsi="Times New Roman" w:cs="Times New Roman"/>
                <w:sz w:val="24"/>
                <w:szCs w:val="24"/>
              </w:rPr>
            </w:pPr>
          </w:p>
        </w:tc>
        <w:tc>
          <w:tcPr>
            <w:tcW w:w="4050" w:type="dxa"/>
          </w:tcPr>
          <w:p w14:paraId="5FD573E9"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rriten çmimet e mallrave dhe shërbimeve ekzistuese?</w:t>
            </w:r>
          </w:p>
        </w:tc>
        <w:tc>
          <w:tcPr>
            <w:tcW w:w="810" w:type="dxa"/>
          </w:tcPr>
          <w:p w14:paraId="1ACCAE1A" w14:textId="77777777" w:rsidR="007E1B0B" w:rsidRPr="000D3717" w:rsidRDefault="007E1B0B" w:rsidP="008D7069">
            <w:pPr>
              <w:rPr>
                <w:rFonts w:ascii="Times New Roman" w:hAnsi="Times New Roman" w:cs="Times New Roman"/>
                <w:sz w:val="24"/>
                <w:szCs w:val="24"/>
              </w:rPr>
            </w:pPr>
          </w:p>
        </w:tc>
        <w:tc>
          <w:tcPr>
            <w:tcW w:w="810" w:type="dxa"/>
          </w:tcPr>
          <w:p w14:paraId="393FE9F9" w14:textId="4DD46457" w:rsidR="007E1B0B" w:rsidRPr="000D3717" w:rsidRDefault="007E1B0B" w:rsidP="008D7069">
            <w:pPr>
              <w:rPr>
                <w:rFonts w:ascii="Times New Roman" w:hAnsi="Times New Roman" w:cs="Times New Roman"/>
                <w:sz w:val="24"/>
                <w:szCs w:val="24"/>
              </w:rPr>
            </w:pPr>
            <w:r w:rsidRPr="00B728C3">
              <w:rPr>
                <w:rFonts w:ascii="Times New Roman" w:hAnsi="Times New Roman" w:cs="Times New Roman"/>
                <w:sz w:val="24"/>
                <w:szCs w:val="24"/>
              </w:rPr>
              <w:t>x</w:t>
            </w:r>
          </w:p>
        </w:tc>
        <w:tc>
          <w:tcPr>
            <w:tcW w:w="2430" w:type="dxa"/>
          </w:tcPr>
          <w:p w14:paraId="63FFB6B8" w14:textId="77777777" w:rsidR="007E1B0B" w:rsidRPr="000D3717" w:rsidRDefault="007E1B0B" w:rsidP="008D7069">
            <w:pPr>
              <w:rPr>
                <w:rFonts w:ascii="Times New Roman" w:hAnsi="Times New Roman" w:cs="Times New Roman"/>
                <w:sz w:val="24"/>
                <w:szCs w:val="24"/>
              </w:rPr>
            </w:pPr>
          </w:p>
        </w:tc>
        <w:tc>
          <w:tcPr>
            <w:tcW w:w="1620" w:type="dxa"/>
          </w:tcPr>
          <w:p w14:paraId="641192B3" w14:textId="77777777" w:rsidR="007E1B0B" w:rsidRPr="000D3717" w:rsidRDefault="007E1B0B" w:rsidP="008D7069">
            <w:pPr>
              <w:rPr>
                <w:rFonts w:ascii="Times New Roman" w:hAnsi="Times New Roman" w:cs="Times New Roman"/>
                <w:sz w:val="24"/>
                <w:szCs w:val="24"/>
              </w:rPr>
            </w:pPr>
          </w:p>
        </w:tc>
        <w:tc>
          <w:tcPr>
            <w:tcW w:w="2610" w:type="dxa"/>
            <w:gridSpan w:val="2"/>
          </w:tcPr>
          <w:p w14:paraId="1135BF69" w14:textId="77777777" w:rsidR="007E1B0B" w:rsidRPr="000D3717" w:rsidRDefault="007E1B0B" w:rsidP="008D7069">
            <w:pPr>
              <w:rPr>
                <w:rFonts w:ascii="Times New Roman" w:hAnsi="Times New Roman" w:cs="Times New Roman"/>
                <w:sz w:val="24"/>
                <w:szCs w:val="24"/>
              </w:rPr>
            </w:pPr>
          </w:p>
        </w:tc>
      </w:tr>
      <w:tr w:rsidR="00770129" w:rsidRPr="000D3717" w14:paraId="61D77D45" w14:textId="77777777" w:rsidTr="00494035">
        <w:tc>
          <w:tcPr>
            <w:tcW w:w="1710" w:type="dxa"/>
            <w:vMerge/>
          </w:tcPr>
          <w:p w14:paraId="62002EB6" w14:textId="77777777" w:rsidR="00770129" w:rsidRPr="000D3717" w:rsidRDefault="00770129" w:rsidP="00770129">
            <w:pPr>
              <w:rPr>
                <w:rFonts w:ascii="Times New Roman" w:hAnsi="Times New Roman" w:cs="Times New Roman"/>
                <w:sz w:val="24"/>
                <w:szCs w:val="24"/>
              </w:rPr>
            </w:pPr>
          </w:p>
        </w:tc>
        <w:tc>
          <w:tcPr>
            <w:tcW w:w="4050" w:type="dxa"/>
          </w:tcPr>
          <w:p w14:paraId="3C0CF50D"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A do të ulen çmimet e mallrave dhe shërbimeve ekzistuese?</w:t>
            </w:r>
          </w:p>
        </w:tc>
        <w:tc>
          <w:tcPr>
            <w:tcW w:w="810" w:type="dxa"/>
          </w:tcPr>
          <w:p w14:paraId="5821D401" w14:textId="52A54CE0" w:rsidR="00770129" w:rsidRPr="000D3717" w:rsidRDefault="007E1B0B" w:rsidP="0077012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24CF13DD" w14:textId="77777777" w:rsidR="00770129" w:rsidRPr="000D3717" w:rsidRDefault="00770129" w:rsidP="00770129">
            <w:pPr>
              <w:rPr>
                <w:rFonts w:ascii="Times New Roman" w:hAnsi="Times New Roman" w:cs="Times New Roman"/>
                <w:sz w:val="24"/>
                <w:szCs w:val="24"/>
              </w:rPr>
            </w:pPr>
          </w:p>
        </w:tc>
        <w:tc>
          <w:tcPr>
            <w:tcW w:w="2430" w:type="dxa"/>
          </w:tcPr>
          <w:p w14:paraId="3739D589"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40C1B0DA" w14:textId="77777777" w:rsidR="00770129" w:rsidRPr="000D3717" w:rsidRDefault="00770129" w:rsidP="00770129">
            <w:pPr>
              <w:rPr>
                <w:rFonts w:ascii="Times New Roman" w:hAnsi="Times New Roman" w:cs="Times New Roman"/>
                <w:sz w:val="24"/>
                <w:szCs w:val="24"/>
              </w:rPr>
            </w:pPr>
          </w:p>
        </w:tc>
        <w:tc>
          <w:tcPr>
            <w:tcW w:w="2610" w:type="dxa"/>
            <w:gridSpan w:val="2"/>
          </w:tcPr>
          <w:p w14:paraId="61AA6AFE" w14:textId="77777777" w:rsidR="00770129" w:rsidRPr="000D3717" w:rsidRDefault="00770129" w:rsidP="00770129">
            <w:pPr>
              <w:rPr>
                <w:rFonts w:ascii="Times New Roman" w:hAnsi="Times New Roman" w:cs="Times New Roman"/>
                <w:sz w:val="24"/>
                <w:szCs w:val="24"/>
              </w:rPr>
            </w:pPr>
          </w:p>
        </w:tc>
      </w:tr>
      <w:tr w:rsidR="00770129" w:rsidRPr="000D3717" w14:paraId="1DECCA5E" w14:textId="77777777" w:rsidTr="00494035">
        <w:tc>
          <w:tcPr>
            <w:tcW w:w="1710" w:type="dxa"/>
            <w:vMerge w:val="restart"/>
          </w:tcPr>
          <w:p w14:paraId="22EDA898"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Ndikimet ekonomike rajonale</w:t>
            </w:r>
          </w:p>
        </w:tc>
        <w:tc>
          <w:tcPr>
            <w:tcW w:w="4050" w:type="dxa"/>
          </w:tcPr>
          <w:p w14:paraId="1269919C"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A do të ndikohet ndonjë sektor i veçantë i biznesit?</w:t>
            </w:r>
          </w:p>
        </w:tc>
        <w:tc>
          <w:tcPr>
            <w:tcW w:w="810" w:type="dxa"/>
          </w:tcPr>
          <w:p w14:paraId="7703BE99" w14:textId="77777777" w:rsidR="00770129" w:rsidRPr="000D3717" w:rsidRDefault="00770129" w:rsidP="00770129">
            <w:pPr>
              <w:rPr>
                <w:rFonts w:ascii="Times New Roman" w:hAnsi="Times New Roman" w:cs="Times New Roman"/>
                <w:sz w:val="24"/>
                <w:szCs w:val="24"/>
              </w:rPr>
            </w:pPr>
          </w:p>
        </w:tc>
        <w:tc>
          <w:tcPr>
            <w:tcW w:w="810" w:type="dxa"/>
          </w:tcPr>
          <w:p w14:paraId="65B3E4DF" w14:textId="77777777" w:rsidR="00770129" w:rsidRPr="000D3717" w:rsidRDefault="00770129" w:rsidP="00770129">
            <w:pPr>
              <w:rPr>
                <w:rFonts w:ascii="Times New Roman" w:hAnsi="Times New Roman" w:cs="Times New Roman"/>
                <w:sz w:val="24"/>
                <w:szCs w:val="24"/>
              </w:rPr>
            </w:pPr>
          </w:p>
        </w:tc>
        <w:tc>
          <w:tcPr>
            <w:tcW w:w="2430" w:type="dxa"/>
          </w:tcPr>
          <w:p w14:paraId="4160316D" w14:textId="77777777" w:rsidR="00770129" w:rsidRPr="000D3717" w:rsidRDefault="00770129" w:rsidP="00770129">
            <w:pPr>
              <w:rPr>
                <w:rFonts w:ascii="Times New Roman" w:hAnsi="Times New Roman" w:cs="Times New Roman"/>
                <w:sz w:val="24"/>
                <w:szCs w:val="24"/>
              </w:rPr>
            </w:pPr>
          </w:p>
        </w:tc>
        <w:tc>
          <w:tcPr>
            <w:tcW w:w="1620" w:type="dxa"/>
          </w:tcPr>
          <w:p w14:paraId="22550A73" w14:textId="77777777" w:rsidR="00770129" w:rsidRPr="000D3717" w:rsidRDefault="00770129" w:rsidP="00770129">
            <w:pPr>
              <w:rPr>
                <w:rFonts w:ascii="Times New Roman" w:hAnsi="Times New Roman" w:cs="Times New Roman"/>
                <w:sz w:val="24"/>
                <w:szCs w:val="24"/>
              </w:rPr>
            </w:pPr>
          </w:p>
        </w:tc>
        <w:tc>
          <w:tcPr>
            <w:tcW w:w="2610" w:type="dxa"/>
            <w:gridSpan w:val="2"/>
          </w:tcPr>
          <w:p w14:paraId="337EAE2D" w14:textId="77777777" w:rsidR="00770129" w:rsidRPr="000D3717" w:rsidRDefault="00770129" w:rsidP="00770129">
            <w:pPr>
              <w:rPr>
                <w:rFonts w:ascii="Times New Roman" w:hAnsi="Times New Roman" w:cs="Times New Roman"/>
                <w:sz w:val="24"/>
                <w:szCs w:val="24"/>
              </w:rPr>
            </w:pPr>
          </w:p>
        </w:tc>
      </w:tr>
      <w:tr w:rsidR="00770129" w:rsidRPr="000D3717" w14:paraId="3C0C507F" w14:textId="77777777" w:rsidTr="00494035">
        <w:tc>
          <w:tcPr>
            <w:tcW w:w="1710" w:type="dxa"/>
            <w:vMerge/>
          </w:tcPr>
          <w:p w14:paraId="201C3FB5" w14:textId="77777777" w:rsidR="00770129" w:rsidRPr="000D3717" w:rsidRDefault="00770129" w:rsidP="00770129">
            <w:pPr>
              <w:rPr>
                <w:rFonts w:ascii="Times New Roman" w:hAnsi="Times New Roman" w:cs="Times New Roman"/>
                <w:sz w:val="24"/>
                <w:szCs w:val="24"/>
              </w:rPr>
            </w:pPr>
          </w:p>
        </w:tc>
        <w:tc>
          <w:tcPr>
            <w:tcW w:w="4050" w:type="dxa"/>
          </w:tcPr>
          <w:p w14:paraId="76C4C822"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A është ky sektor i koncentruar në një rajon të caktuar?</w:t>
            </w:r>
          </w:p>
        </w:tc>
        <w:tc>
          <w:tcPr>
            <w:tcW w:w="810" w:type="dxa"/>
          </w:tcPr>
          <w:p w14:paraId="763EC832" w14:textId="77777777" w:rsidR="00770129" w:rsidRPr="000D3717" w:rsidRDefault="00770129" w:rsidP="00770129">
            <w:pPr>
              <w:rPr>
                <w:rFonts w:ascii="Times New Roman" w:hAnsi="Times New Roman" w:cs="Times New Roman"/>
                <w:sz w:val="24"/>
                <w:szCs w:val="24"/>
              </w:rPr>
            </w:pPr>
          </w:p>
        </w:tc>
        <w:tc>
          <w:tcPr>
            <w:tcW w:w="810" w:type="dxa"/>
          </w:tcPr>
          <w:p w14:paraId="61930C24" w14:textId="77777777" w:rsidR="00770129" w:rsidRPr="000D3717" w:rsidRDefault="00770129" w:rsidP="00770129">
            <w:pPr>
              <w:rPr>
                <w:rFonts w:ascii="Times New Roman" w:hAnsi="Times New Roman" w:cs="Times New Roman"/>
                <w:sz w:val="24"/>
                <w:szCs w:val="24"/>
              </w:rPr>
            </w:pPr>
          </w:p>
        </w:tc>
        <w:tc>
          <w:tcPr>
            <w:tcW w:w="2430" w:type="dxa"/>
          </w:tcPr>
          <w:p w14:paraId="6145A328" w14:textId="77777777" w:rsidR="00770129" w:rsidRPr="000D3717" w:rsidRDefault="00770129" w:rsidP="00770129">
            <w:pPr>
              <w:rPr>
                <w:rFonts w:ascii="Times New Roman" w:hAnsi="Times New Roman" w:cs="Times New Roman"/>
                <w:sz w:val="24"/>
                <w:szCs w:val="24"/>
              </w:rPr>
            </w:pPr>
          </w:p>
        </w:tc>
        <w:tc>
          <w:tcPr>
            <w:tcW w:w="1620" w:type="dxa"/>
          </w:tcPr>
          <w:p w14:paraId="47912CD1" w14:textId="77777777" w:rsidR="00770129" w:rsidRPr="000D3717" w:rsidRDefault="00770129" w:rsidP="00770129">
            <w:pPr>
              <w:rPr>
                <w:rFonts w:ascii="Times New Roman" w:hAnsi="Times New Roman" w:cs="Times New Roman"/>
                <w:sz w:val="24"/>
                <w:szCs w:val="24"/>
              </w:rPr>
            </w:pPr>
          </w:p>
        </w:tc>
        <w:tc>
          <w:tcPr>
            <w:tcW w:w="2610" w:type="dxa"/>
            <w:gridSpan w:val="2"/>
          </w:tcPr>
          <w:p w14:paraId="27712E5C" w14:textId="77777777" w:rsidR="00770129" w:rsidRPr="000D3717" w:rsidRDefault="00770129" w:rsidP="00770129">
            <w:pPr>
              <w:rPr>
                <w:rFonts w:ascii="Times New Roman" w:hAnsi="Times New Roman" w:cs="Times New Roman"/>
                <w:sz w:val="24"/>
                <w:szCs w:val="24"/>
              </w:rPr>
            </w:pPr>
          </w:p>
        </w:tc>
      </w:tr>
      <w:tr w:rsidR="00770129" w:rsidRPr="000D3717" w14:paraId="1FF56938" w14:textId="77777777" w:rsidTr="00494035">
        <w:tc>
          <w:tcPr>
            <w:tcW w:w="1710" w:type="dxa"/>
            <w:vMerge w:val="restart"/>
          </w:tcPr>
          <w:p w14:paraId="3F78E025"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Zhvillimi i përgjithshëm ekonomik</w:t>
            </w:r>
          </w:p>
        </w:tc>
        <w:tc>
          <w:tcPr>
            <w:tcW w:w="4050" w:type="dxa"/>
          </w:tcPr>
          <w:p w14:paraId="1B3BB446"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 xml:space="preserve">A do të ndikohet rritja e ardhshme ekonomike? </w:t>
            </w:r>
          </w:p>
        </w:tc>
        <w:tc>
          <w:tcPr>
            <w:tcW w:w="810" w:type="dxa"/>
          </w:tcPr>
          <w:p w14:paraId="5C7FAA2F" w14:textId="01DAC216" w:rsidR="00770129" w:rsidRPr="000D3717" w:rsidRDefault="007E1B0B" w:rsidP="0077012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28B0B53A" w14:textId="77777777" w:rsidR="00770129" w:rsidRPr="000D3717" w:rsidRDefault="00770129" w:rsidP="00770129">
            <w:pPr>
              <w:rPr>
                <w:rFonts w:ascii="Times New Roman" w:hAnsi="Times New Roman" w:cs="Times New Roman"/>
                <w:sz w:val="24"/>
                <w:szCs w:val="24"/>
              </w:rPr>
            </w:pPr>
          </w:p>
        </w:tc>
        <w:tc>
          <w:tcPr>
            <w:tcW w:w="2430" w:type="dxa"/>
          </w:tcPr>
          <w:p w14:paraId="1E2537FB"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14E15DB8" w14:textId="77777777" w:rsidR="00770129" w:rsidRPr="000D3717" w:rsidRDefault="00770129" w:rsidP="00770129">
            <w:pPr>
              <w:rPr>
                <w:rFonts w:ascii="Times New Roman" w:hAnsi="Times New Roman" w:cs="Times New Roman"/>
                <w:sz w:val="24"/>
                <w:szCs w:val="24"/>
              </w:rPr>
            </w:pPr>
          </w:p>
        </w:tc>
        <w:tc>
          <w:tcPr>
            <w:tcW w:w="2610" w:type="dxa"/>
            <w:gridSpan w:val="2"/>
          </w:tcPr>
          <w:p w14:paraId="24D524E7" w14:textId="77777777" w:rsidR="00770129" w:rsidRPr="000D3717" w:rsidRDefault="00770129" w:rsidP="00770129">
            <w:pPr>
              <w:rPr>
                <w:rFonts w:ascii="Times New Roman" w:hAnsi="Times New Roman" w:cs="Times New Roman"/>
                <w:sz w:val="24"/>
                <w:szCs w:val="24"/>
              </w:rPr>
            </w:pPr>
          </w:p>
        </w:tc>
      </w:tr>
      <w:tr w:rsidR="00770129" w:rsidRPr="000D3717" w14:paraId="6A8B88A1" w14:textId="77777777" w:rsidTr="00494035">
        <w:tc>
          <w:tcPr>
            <w:tcW w:w="1710" w:type="dxa"/>
            <w:vMerge/>
          </w:tcPr>
          <w:p w14:paraId="24D23EC5" w14:textId="77777777" w:rsidR="00770129" w:rsidRPr="000D3717" w:rsidRDefault="00770129" w:rsidP="00770129">
            <w:pPr>
              <w:rPr>
                <w:rFonts w:ascii="Times New Roman" w:hAnsi="Times New Roman" w:cs="Times New Roman"/>
                <w:sz w:val="24"/>
                <w:szCs w:val="24"/>
              </w:rPr>
            </w:pPr>
          </w:p>
        </w:tc>
        <w:tc>
          <w:tcPr>
            <w:tcW w:w="4050" w:type="dxa"/>
          </w:tcPr>
          <w:p w14:paraId="30BED29A" w14:textId="77777777" w:rsidR="00770129" w:rsidRPr="000D3717" w:rsidRDefault="00770129" w:rsidP="00770129">
            <w:pPr>
              <w:rPr>
                <w:rFonts w:ascii="Times New Roman" w:hAnsi="Times New Roman" w:cs="Times New Roman"/>
                <w:sz w:val="24"/>
                <w:szCs w:val="24"/>
              </w:rPr>
            </w:pPr>
            <w:r w:rsidRPr="000D3717">
              <w:rPr>
                <w:rFonts w:ascii="Times New Roman" w:hAnsi="Times New Roman" w:cs="Times New Roman"/>
                <w:sz w:val="24"/>
                <w:szCs w:val="24"/>
              </w:rPr>
              <w:t>A mund të ketë ndonjë efekt në normën e inflacionit?</w:t>
            </w:r>
          </w:p>
        </w:tc>
        <w:tc>
          <w:tcPr>
            <w:tcW w:w="810" w:type="dxa"/>
          </w:tcPr>
          <w:p w14:paraId="23A218EA" w14:textId="77777777" w:rsidR="00770129" w:rsidRPr="000D3717" w:rsidRDefault="00770129" w:rsidP="00770129">
            <w:pPr>
              <w:rPr>
                <w:rFonts w:ascii="Times New Roman" w:hAnsi="Times New Roman" w:cs="Times New Roman"/>
                <w:sz w:val="24"/>
                <w:szCs w:val="24"/>
              </w:rPr>
            </w:pPr>
          </w:p>
        </w:tc>
        <w:tc>
          <w:tcPr>
            <w:tcW w:w="810" w:type="dxa"/>
          </w:tcPr>
          <w:p w14:paraId="1CA2A0FA" w14:textId="0157DE35" w:rsidR="00770129" w:rsidRPr="000D3717" w:rsidRDefault="007E1B0B" w:rsidP="0077012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260653BD" w14:textId="77777777" w:rsidR="00770129" w:rsidRPr="000D3717" w:rsidRDefault="00770129" w:rsidP="00770129">
            <w:pPr>
              <w:rPr>
                <w:rFonts w:ascii="Times New Roman" w:hAnsi="Times New Roman" w:cs="Times New Roman"/>
                <w:sz w:val="24"/>
                <w:szCs w:val="24"/>
              </w:rPr>
            </w:pPr>
          </w:p>
        </w:tc>
        <w:tc>
          <w:tcPr>
            <w:tcW w:w="1620" w:type="dxa"/>
          </w:tcPr>
          <w:p w14:paraId="5BC746FC" w14:textId="77777777" w:rsidR="00770129" w:rsidRPr="000D3717" w:rsidRDefault="00770129" w:rsidP="00770129">
            <w:pPr>
              <w:rPr>
                <w:rFonts w:ascii="Times New Roman" w:hAnsi="Times New Roman" w:cs="Times New Roman"/>
                <w:sz w:val="24"/>
                <w:szCs w:val="24"/>
              </w:rPr>
            </w:pPr>
          </w:p>
        </w:tc>
        <w:tc>
          <w:tcPr>
            <w:tcW w:w="2610" w:type="dxa"/>
            <w:gridSpan w:val="2"/>
          </w:tcPr>
          <w:p w14:paraId="06FB1CC6" w14:textId="77777777" w:rsidR="00770129" w:rsidRPr="000D3717" w:rsidRDefault="00770129" w:rsidP="00770129">
            <w:pPr>
              <w:rPr>
                <w:rFonts w:ascii="Times New Roman" w:hAnsi="Times New Roman" w:cs="Times New Roman"/>
                <w:sz w:val="24"/>
                <w:szCs w:val="24"/>
              </w:rPr>
            </w:pPr>
          </w:p>
        </w:tc>
      </w:tr>
    </w:tbl>
    <w:p w14:paraId="06058B3E" w14:textId="77777777" w:rsidR="00DF2517" w:rsidRPr="000D3717" w:rsidRDefault="00DF2517" w:rsidP="0075339D">
      <w:pPr>
        <w:rPr>
          <w:rFonts w:ascii="Times New Roman" w:hAnsi="Times New Roman" w:cs="Times New Roman"/>
          <w:sz w:val="24"/>
          <w:szCs w:val="24"/>
        </w:rPr>
      </w:pPr>
    </w:p>
    <w:p w14:paraId="1DBB7B94" w14:textId="77777777" w:rsidR="00DF2517" w:rsidRPr="000D3717" w:rsidRDefault="00DF2517" w:rsidP="00DF2517">
      <w:pPr>
        <w:rPr>
          <w:rFonts w:ascii="Times New Roman" w:hAnsi="Times New Roman" w:cs="Times New Roman"/>
          <w:sz w:val="24"/>
          <w:szCs w:val="24"/>
        </w:rPr>
      </w:pPr>
      <w:r w:rsidRPr="000D3717">
        <w:rPr>
          <w:rFonts w:ascii="Times New Roman" w:hAnsi="Times New Roman" w:cs="Times New Roman"/>
          <w:sz w:val="24"/>
          <w:szCs w:val="24"/>
        </w:rPr>
        <w:br w:type="page"/>
      </w:r>
    </w:p>
    <w:p w14:paraId="3C809D21" w14:textId="77777777" w:rsidR="00942D7C" w:rsidRPr="000D3717" w:rsidRDefault="00180BB0" w:rsidP="00B1424D">
      <w:pPr>
        <w:pStyle w:val="Heading1"/>
        <w:rPr>
          <w:rFonts w:ascii="Times New Roman" w:hAnsi="Times New Roman" w:cs="Times New Roman"/>
          <w:sz w:val="24"/>
          <w:szCs w:val="24"/>
        </w:rPr>
      </w:pPr>
      <w:bookmarkStart w:id="23" w:name="_Toc532388168"/>
      <w:r w:rsidRPr="000D3717">
        <w:rPr>
          <w:rFonts w:ascii="Times New Roman" w:hAnsi="Times New Roman" w:cs="Times New Roman"/>
          <w:sz w:val="24"/>
          <w:szCs w:val="24"/>
        </w:rPr>
        <w:lastRenderedPageBreak/>
        <w:t xml:space="preserve">Shtojca </w:t>
      </w:r>
      <w:r w:rsidR="00DF2517" w:rsidRPr="000D3717">
        <w:rPr>
          <w:rFonts w:ascii="Times New Roman" w:hAnsi="Times New Roman" w:cs="Times New Roman"/>
          <w:sz w:val="24"/>
          <w:szCs w:val="24"/>
        </w:rPr>
        <w:t xml:space="preserve">2: </w:t>
      </w:r>
      <w:r w:rsidR="00162D8C" w:rsidRPr="000D3717">
        <w:rPr>
          <w:rFonts w:ascii="Times New Roman" w:hAnsi="Times New Roman" w:cs="Times New Roman"/>
          <w:sz w:val="24"/>
          <w:szCs w:val="24"/>
        </w:rPr>
        <w:t xml:space="preserve">Forma e vlerësimit për </w:t>
      </w:r>
      <w:r w:rsidR="00541488" w:rsidRPr="000D3717">
        <w:rPr>
          <w:rFonts w:ascii="Times New Roman" w:hAnsi="Times New Roman" w:cs="Times New Roman"/>
          <w:sz w:val="24"/>
          <w:szCs w:val="24"/>
        </w:rPr>
        <w:t>n</w:t>
      </w:r>
      <w:r w:rsidR="00162D8C" w:rsidRPr="000D3717">
        <w:rPr>
          <w:rFonts w:ascii="Times New Roman" w:hAnsi="Times New Roman" w:cs="Times New Roman"/>
          <w:sz w:val="24"/>
          <w:szCs w:val="24"/>
        </w:rPr>
        <w:t>dikim</w:t>
      </w:r>
      <w:r w:rsidR="00674773" w:rsidRPr="000D3717">
        <w:rPr>
          <w:rFonts w:ascii="Times New Roman" w:hAnsi="Times New Roman" w:cs="Times New Roman"/>
          <w:sz w:val="24"/>
          <w:szCs w:val="24"/>
        </w:rPr>
        <w:t>et</w:t>
      </w:r>
      <w:r w:rsidR="00DF2517" w:rsidRPr="000D3717">
        <w:rPr>
          <w:rFonts w:ascii="Times New Roman" w:hAnsi="Times New Roman" w:cs="Times New Roman"/>
          <w:sz w:val="24"/>
          <w:szCs w:val="24"/>
        </w:rPr>
        <w:t xml:space="preserve"> </w:t>
      </w:r>
      <w:r w:rsidR="00541488" w:rsidRPr="000D3717">
        <w:rPr>
          <w:rFonts w:ascii="Times New Roman" w:hAnsi="Times New Roman" w:cs="Times New Roman"/>
          <w:sz w:val="24"/>
          <w:szCs w:val="24"/>
        </w:rPr>
        <w:t>s</w:t>
      </w:r>
      <w:r w:rsidR="00162D8C" w:rsidRPr="000D3717">
        <w:rPr>
          <w:rFonts w:ascii="Times New Roman" w:hAnsi="Times New Roman" w:cs="Times New Roman"/>
          <w:sz w:val="24"/>
          <w:szCs w:val="24"/>
        </w:rPr>
        <w:t>hoqëror</w:t>
      </w:r>
      <w:r w:rsidR="00541488" w:rsidRPr="000D3717">
        <w:rPr>
          <w:rFonts w:ascii="Times New Roman" w:hAnsi="Times New Roman" w:cs="Times New Roman"/>
          <w:sz w:val="24"/>
          <w:szCs w:val="24"/>
        </w:rPr>
        <w:t>e</w:t>
      </w:r>
      <w:bookmarkEnd w:id="23"/>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0D3717" w14:paraId="66CDBD27" w14:textId="77777777" w:rsidTr="00595960">
        <w:tc>
          <w:tcPr>
            <w:tcW w:w="1710" w:type="dxa"/>
            <w:vMerge w:val="restart"/>
          </w:tcPr>
          <w:p w14:paraId="2D18D5F4" w14:textId="77777777" w:rsidR="00C11655" w:rsidRPr="000D3717" w:rsidRDefault="00F51BA0" w:rsidP="00C11655">
            <w:pPr>
              <w:rPr>
                <w:rFonts w:ascii="Times New Roman" w:hAnsi="Times New Roman" w:cs="Times New Roman"/>
                <w:b/>
                <w:sz w:val="24"/>
                <w:szCs w:val="24"/>
              </w:rPr>
            </w:pPr>
            <w:r w:rsidRPr="000D3717">
              <w:rPr>
                <w:rFonts w:ascii="Times New Roman" w:hAnsi="Times New Roman" w:cs="Times New Roman"/>
                <w:b/>
                <w:sz w:val="24"/>
                <w:szCs w:val="24"/>
              </w:rPr>
              <w:t>Kategoria e ndikimeve shoqërore</w:t>
            </w:r>
          </w:p>
        </w:tc>
        <w:tc>
          <w:tcPr>
            <w:tcW w:w="4163" w:type="dxa"/>
            <w:vMerge w:val="restart"/>
          </w:tcPr>
          <w:p w14:paraId="2CD4B8C0" w14:textId="77777777" w:rsidR="00C11655" w:rsidRPr="000D3717" w:rsidRDefault="00F51BA0" w:rsidP="00C11655">
            <w:pPr>
              <w:rPr>
                <w:rFonts w:ascii="Times New Roman" w:hAnsi="Times New Roman" w:cs="Times New Roman"/>
                <w:b/>
                <w:sz w:val="24"/>
                <w:szCs w:val="24"/>
              </w:rPr>
            </w:pPr>
            <w:r w:rsidRPr="000D3717">
              <w:rPr>
                <w:rFonts w:ascii="Times New Roman" w:hAnsi="Times New Roman" w:cs="Times New Roman"/>
                <w:b/>
                <w:sz w:val="24"/>
                <w:szCs w:val="24"/>
              </w:rPr>
              <w:t>Ndikimi kryesor</w:t>
            </w:r>
          </w:p>
        </w:tc>
        <w:tc>
          <w:tcPr>
            <w:tcW w:w="1597" w:type="dxa"/>
            <w:gridSpan w:val="2"/>
          </w:tcPr>
          <w:p w14:paraId="77C05FAF" w14:textId="77777777" w:rsidR="00C11655" w:rsidRPr="000D3717" w:rsidRDefault="00F51BA0" w:rsidP="00C11655">
            <w:pPr>
              <w:rPr>
                <w:rFonts w:ascii="Times New Roman" w:hAnsi="Times New Roman" w:cs="Times New Roman"/>
                <w:b/>
                <w:sz w:val="24"/>
                <w:szCs w:val="24"/>
              </w:rPr>
            </w:pPr>
            <w:r w:rsidRPr="000D3717">
              <w:rPr>
                <w:rFonts w:ascii="Times New Roman" w:hAnsi="Times New Roman" w:cs="Times New Roman"/>
                <w:b/>
                <w:sz w:val="24"/>
                <w:szCs w:val="24"/>
              </w:rPr>
              <w:t>A pritet të ndodhë ky ndikim</w:t>
            </w:r>
            <w:r w:rsidR="00C11655" w:rsidRPr="000D3717">
              <w:rPr>
                <w:rFonts w:ascii="Times New Roman" w:hAnsi="Times New Roman" w:cs="Times New Roman"/>
                <w:b/>
                <w:sz w:val="24"/>
                <w:szCs w:val="24"/>
              </w:rPr>
              <w:t>?</w:t>
            </w:r>
          </w:p>
        </w:tc>
        <w:tc>
          <w:tcPr>
            <w:tcW w:w="2340" w:type="dxa"/>
          </w:tcPr>
          <w:p w14:paraId="2A23B6C9" w14:textId="77777777" w:rsidR="00C11655" w:rsidRPr="000D3717" w:rsidRDefault="00C13D3C" w:rsidP="00C11655">
            <w:pPr>
              <w:rPr>
                <w:rFonts w:ascii="Times New Roman" w:hAnsi="Times New Roman" w:cs="Times New Roman"/>
                <w:b/>
                <w:sz w:val="24"/>
                <w:szCs w:val="24"/>
              </w:rPr>
            </w:pPr>
            <w:r w:rsidRPr="000D3717">
              <w:rPr>
                <w:rFonts w:ascii="Times New Roman" w:hAnsi="Times New Roman" w:cs="Times New Roman"/>
                <w:b/>
                <w:sz w:val="24"/>
                <w:szCs w:val="24"/>
              </w:rPr>
              <w:t>Numri i organizatave, kompanive dhe/ose individëve të prekur</w:t>
            </w:r>
          </w:p>
        </w:tc>
        <w:tc>
          <w:tcPr>
            <w:tcW w:w="1620" w:type="dxa"/>
          </w:tcPr>
          <w:p w14:paraId="3727FA63" w14:textId="77777777" w:rsidR="00C11655" w:rsidRPr="000D3717" w:rsidRDefault="00C13D3C" w:rsidP="00C11655">
            <w:pPr>
              <w:rPr>
                <w:rFonts w:ascii="Times New Roman" w:hAnsi="Times New Roman" w:cs="Times New Roman"/>
                <w:b/>
                <w:sz w:val="24"/>
                <w:szCs w:val="24"/>
              </w:rPr>
            </w:pPr>
            <w:r w:rsidRPr="000D3717">
              <w:rPr>
                <w:rFonts w:ascii="Times New Roman" w:hAnsi="Times New Roman" w:cs="Times New Roman"/>
                <w:b/>
                <w:sz w:val="24"/>
                <w:szCs w:val="24"/>
              </w:rPr>
              <w:t>Përfitimi i pritshëm ose kostoja e ndikimit</w:t>
            </w:r>
          </w:p>
        </w:tc>
        <w:tc>
          <w:tcPr>
            <w:tcW w:w="2610" w:type="dxa"/>
          </w:tcPr>
          <w:p w14:paraId="13BD78BE" w14:textId="77777777" w:rsidR="00C11655" w:rsidRPr="000D3717" w:rsidRDefault="00C13D3C" w:rsidP="00C11655">
            <w:pPr>
              <w:rPr>
                <w:rFonts w:ascii="Times New Roman" w:hAnsi="Times New Roman" w:cs="Times New Roman"/>
                <w:b/>
                <w:sz w:val="24"/>
                <w:szCs w:val="24"/>
              </w:rPr>
            </w:pPr>
            <w:r w:rsidRPr="000D3717">
              <w:rPr>
                <w:rFonts w:ascii="Times New Roman" w:hAnsi="Times New Roman" w:cs="Times New Roman"/>
                <w:b/>
                <w:sz w:val="24"/>
                <w:szCs w:val="24"/>
              </w:rPr>
              <w:t>Niveli i preferuar i analizës</w:t>
            </w:r>
          </w:p>
        </w:tc>
      </w:tr>
      <w:tr w:rsidR="00F51BA0" w:rsidRPr="000D3717" w14:paraId="7895A3A4" w14:textId="77777777" w:rsidTr="00595960">
        <w:tc>
          <w:tcPr>
            <w:tcW w:w="1710" w:type="dxa"/>
            <w:vMerge/>
          </w:tcPr>
          <w:p w14:paraId="7DDE80D8" w14:textId="77777777" w:rsidR="00F51BA0" w:rsidRPr="000D3717" w:rsidRDefault="00F51BA0" w:rsidP="00C11655">
            <w:pPr>
              <w:rPr>
                <w:rFonts w:ascii="Times New Roman" w:hAnsi="Times New Roman" w:cs="Times New Roman"/>
                <w:b/>
                <w:sz w:val="24"/>
                <w:szCs w:val="24"/>
              </w:rPr>
            </w:pPr>
          </w:p>
        </w:tc>
        <w:tc>
          <w:tcPr>
            <w:tcW w:w="4163" w:type="dxa"/>
            <w:vMerge/>
          </w:tcPr>
          <w:p w14:paraId="5C01CC16" w14:textId="77777777" w:rsidR="00F51BA0" w:rsidRPr="000D3717" w:rsidRDefault="00F51BA0" w:rsidP="00C11655">
            <w:pPr>
              <w:rPr>
                <w:rFonts w:ascii="Times New Roman" w:hAnsi="Times New Roman" w:cs="Times New Roman"/>
                <w:b/>
                <w:sz w:val="24"/>
                <w:szCs w:val="24"/>
              </w:rPr>
            </w:pPr>
          </w:p>
        </w:tc>
        <w:tc>
          <w:tcPr>
            <w:tcW w:w="810" w:type="dxa"/>
          </w:tcPr>
          <w:p w14:paraId="4BFF5E4E" w14:textId="77777777" w:rsidR="00F51BA0" w:rsidRPr="000D3717" w:rsidRDefault="00F51BA0" w:rsidP="002D17EC">
            <w:pPr>
              <w:rPr>
                <w:rFonts w:ascii="Times New Roman" w:hAnsi="Times New Roman" w:cs="Times New Roman"/>
                <w:b/>
                <w:sz w:val="24"/>
                <w:szCs w:val="24"/>
              </w:rPr>
            </w:pPr>
            <w:r w:rsidRPr="000D3717">
              <w:rPr>
                <w:rFonts w:ascii="Times New Roman" w:hAnsi="Times New Roman" w:cs="Times New Roman"/>
                <w:b/>
                <w:sz w:val="24"/>
                <w:szCs w:val="24"/>
              </w:rPr>
              <w:t>Po</w:t>
            </w:r>
          </w:p>
        </w:tc>
        <w:tc>
          <w:tcPr>
            <w:tcW w:w="787" w:type="dxa"/>
          </w:tcPr>
          <w:p w14:paraId="1ED1A8E9" w14:textId="77777777" w:rsidR="00F51BA0" w:rsidRPr="000D3717" w:rsidRDefault="00F51BA0" w:rsidP="002D17EC">
            <w:pPr>
              <w:rPr>
                <w:rFonts w:ascii="Times New Roman" w:hAnsi="Times New Roman" w:cs="Times New Roman"/>
                <w:b/>
                <w:sz w:val="24"/>
                <w:szCs w:val="24"/>
              </w:rPr>
            </w:pPr>
            <w:r w:rsidRPr="000D3717">
              <w:rPr>
                <w:rFonts w:ascii="Times New Roman" w:hAnsi="Times New Roman" w:cs="Times New Roman"/>
                <w:b/>
                <w:sz w:val="24"/>
                <w:szCs w:val="24"/>
              </w:rPr>
              <w:t>Jo</w:t>
            </w:r>
          </w:p>
        </w:tc>
        <w:tc>
          <w:tcPr>
            <w:tcW w:w="2340" w:type="dxa"/>
          </w:tcPr>
          <w:p w14:paraId="6C49AC90" w14:textId="77777777" w:rsidR="00F51BA0" w:rsidRPr="000D3717" w:rsidRDefault="00C13D3C" w:rsidP="00C11655">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1620" w:type="dxa"/>
          </w:tcPr>
          <w:p w14:paraId="616DF9CF" w14:textId="77777777" w:rsidR="00F51BA0" w:rsidRPr="000D3717" w:rsidRDefault="00C13D3C" w:rsidP="00C11655">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2610" w:type="dxa"/>
          </w:tcPr>
          <w:p w14:paraId="531570CF" w14:textId="77777777" w:rsidR="00F51BA0" w:rsidRPr="000D3717" w:rsidRDefault="00F51BA0" w:rsidP="00C11655">
            <w:pPr>
              <w:rPr>
                <w:rFonts w:ascii="Times New Roman" w:hAnsi="Times New Roman" w:cs="Times New Roman"/>
                <w:b/>
                <w:sz w:val="24"/>
                <w:szCs w:val="24"/>
              </w:rPr>
            </w:pPr>
          </w:p>
        </w:tc>
      </w:tr>
      <w:tr w:rsidR="00595960" w:rsidRPr="000D3717" w14:paraId="0F70148D" w14:textId="77777777" w:rsidTr="00595960">
        <w:tc>
          <w:tcPr>
            <w:tcW w:w="1710" w:type="dxa"/>
            <w:vMerge w:val="restart"/>
          </w:tcPr>
          <w:p w14:paraId="1FB3C0BE" w14:textId="77777777" w:rsidR="00595960" w:rsidRPr="000D3717" w:rsidRDefault="00595960" w:rsidP="008D7069">
            <w:pPr>
              <w:rPr>
                <w:rFonts w:ascii="Times New Roman" w:hAnsi="Times New Roman" w:cs="Times New Roman"/>
                <w:sz w:val="24"/>
                <w:szCs w:val="24"/>
              </w:rPr>
            </w:pPr>
            <w:r w:rsidRPr="000D3717">
              <w:rPr>
                <w:rFonts w:ascii="Times New Roman" w:hAnsi="Times New Roman" w:cs="Times New Roman"/>
                <w:sz w:val="24"/>
                <w:szCs w:val="24"/>
              </w:rPr>
              <w:t>Vendet e punës</w:t>
            </w:r>
            <w:r w:rsidRPr="000D3717">
              <w:rPr>
                <w:rStyle w:val="FootnoteReference"/>
                <w:rFonts w:ascii="Times New Roman" w:hAnsi="Times New Roman" w:cs="Times New Roman"/>
                <w:sz w:val="24"/>
                <w:szCs w:val="24"/>
                <w:vertAlign w:val="baseline"/>
              </w:rPr>
              <w:t xml:space="preserve"> </w:t>
            </w:r>
            <w:r w:rsidRPr="000D3717">
              <w:rPr>
                <w:rStyle w:val="FootnoteReference"/>
                <w:rFonts w:ascii="Times New Roman" w:hAnsi="Times New Roman" w:cs="Times New Roman"/>
                <w:sz w:val="24"/>
                <w:szCs w:val="24"/>
              </w:rPr>
              <w:footnoteReference w:id="24"/>
            </w:r>
          </w:p>
        </w:tc>
        <w:tc>
          <w:tcPr>
            <w:tcW w:w="4163" w:type="dxa"/>
          </w:tcPr>
          <w:p w14:paraId="4DF5FDBB" w14:textId="77777777" w:rsidR="00595960" w:rsidRPr="000D3717" w:rsidRDefault="00595960"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rritet numri aktual i vendeve të punës?</w:t>
            </w:r>
          </w:p>
        </w:tc>
        <w:tc>
          <w:tcPr>
            <w:tcW w:w="810" w:type="dxa"/>
          </w:tcPr>
          <w:p w14:paraId="7113DE6D" w14:textId="0FB02773" w:rsidR="00595960" w:rsidRPr="000D3717" w:rsidRDefault="007E1B0B" w:rsidP="008D7069">
            <w:pPr>
              <w:rPr>
                <w:rFonts w:ascii="Times New Roman" w:hAnsi="Times New Roman" w:cs="Times New Roman"/>
                <w:sz w:val="24"/>
                <w:szCs w:val="24"/>
              </w:rPr>
            </w:pPr>
            <w:r>
              <w:rPr>
                <w:rFonts w:ascii="Times New Roman" w:hAnsi="Times New Roman" w:cs="Times New Roman"/>
                <w:sz w:val="24"/>
                <w:szCs w:val="24"/>
              </w:rPr>
              <w:t>x</w:t>
            </w:r>
          </w:p>
        </w:tc>
        <w:tc>
          <w:tcPr>
            <w:tcW w:w="787" w:type="dxa"/>
          </w:tcPr>
          <w:p w14:paraId="2248E03A" w14:textId="77777777" w:rsidR="00595960" w:rsidRPr="000D3717" w:rsidRDefault="00595960" w:rsidP="008D7069">
            <w:pPr>
              <w:rPr>
                <w:rFonts w:ascii="Times New Roman" w:hAnsi="Times New Roman" w:cs="Times New Roman"/>
                <w:sz w:val="24"/>
                <w:szCs w:val="24"/>
              </w:rPr>
            </w:pPr>
          </w:p>
        </w:tc>
        <w:tc>
          <w:tcPr>
            <w:tcW w:w="2340" w:type="dxa"/>
          </w:tcPr>
          <w:p w14:paraId="60CEE8CF" w14:textId="77777777" w:rsidR="00595960" w:rsidRPr="000D3717" w:rsidRDefault="00BF7D20" w:rsidP="008D7069">
            <w:pPr>
              <w:rPr>
                <w:rFonts w:ascii="Times New Roman" w:hAnsi="Times New Roman" w:cs="Times New Roman"/>
                <w:sz w:val="24"/>
                <w:szCs w:val="24"/>
              </w:rPr>
            </w:pPr>
            <w:r w:rsidRPr="000D3717">
              <w:rPr>
                <w:rFonts w:ascii="Times New Roman" w:hAnsi="Times New Roman" w:cs="Times New Roman"/>
                <w:sz w:val="24"/>
                <w:szCs w:val="24"/>
              </w:rPr>
              <w:t>I ulët</w:t>
            </w:r>
          </w:p>
        </w:tc>
        <w:tc>
          <w:tcPr>
            <w:tcW w:w="1620" w:type="dxa"/>
          </w:tcPr>
          <w:p w14:paraId="7CC641EF" w14:textId="77777777" w:rsidR="00595960" w:rsidRPr="000D3717" w:rsidRDefault="00595960" w:rsidP="008D7069">
            <w:pPr>
              <w:rPr>
                <w:rFonts w:ascii="Times New Roman" w:hAnsi="Times New Roman" w:cs="Times New Roman"/>
                <w:sz w:val="24"/>
                <w:szCs w:val="24"/>
              </w:rPr>
            </w:pPr>
          </w:p>
        </w:tc>
        <w:tc>
          <w:tcPr>
            <w:tcW w:w="2610" w:type="dxa"/>
          </w:tcPr>
          <w:p w14:paraId="5CDC6DE0" w14:textId="77777777" w:rsidR="00595960" w:rsidRPr="000D3717" w:rsidRDefault="00595960" w:rsidP="008D7069">
            <w:pPr>
              <w:rPr>
                <w:rFonts w:ascii="Times New Roman" w:hAnsi="Times New Roman" w:cs="Times New Roman"/>
                <w:sz w:val="24"/>
                <w:szCs w:val="24"/>
              </w:rPr>
            </w:pPr>
          </w:p>
        </w:tc>
      </w:tr>
      <w:tr w:rsidR="007E1B0B" w:rsidRPr="000D3717" w14:paraId="44B77F60" w14:textId="77777777" w:rsidTr="00595960">
        <w:tc>
          <w:tcPr>
            <w:tcW w:w="1710" w:type="dxa"/>
            <w:vMerge/>
          </w:tcPr>
          <w:p w14:paraId="59D12775" w14:textId="77777777" w:rsidR="007E1B0B" w:rsidRPr="000D3717" w:rsidRDefault="007E1B0B" w:rsidP="008D7069">
            <w:pPr>
              <w:rPr>
                <w:rFonts w:ascii="Times New Roman" w:hAnsi="Times New Roman" w:cs="Times New Roman"/>
                <w:sz w:val="24"/>
                <w:szCs w:val="24"/>
              </w:rPr>
            </w:pPr>
          </w:p>
        </w:tc>
        <w:tc>
          <w:tcPr>
            <w:tcW w:w="4163" w:type="dxa"/>
          </w:tcPr>
          <w:p w14:paraId="47E3A339"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zvogëlohet numri aktual i vendeve të punës?</w:t>
            </w:r>
          </w:p>
        </w:tc>
        <w:tc>
          <w:tcPr>
            <w:tcW w:w="810" w:type="dxa"/>
          </w:tcPr>
          <w:p w14:paraId="02F994E2" w14:textId="77777777" w:rsidR="007E1B0B" w:rsidRPr="000D3717" w:rsidRDefault="007E1B0B" w:rsidP="008D7069">
            <w:pPr>
              <w:rPr>
                <w:rFonts w:ascii="Times New Roman" w:hAnsi="Times New Roman" w:cs="Times New Roman"/>
                <w:sz w:val="24"/>
                <w:szCs w:val="24"/>
              </w:rPr>
            </w:pPr>
          </w:p>
        </w:tc>
        <w:tc>
          <w:tcPr>
            <w:tcW w:w="787" w:type="dxa"/>
          </w:tcPr>
          <w:p w14:paraId="3BD1470B" w14:textId="32AA9EB3"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669F3987" w14:textId="77777777" w:rsidR="007E1B0B" w:rsidRPr="000D3717" w:rsidRDefault="007E1B0B" w:rsidP="008D7069">
            <w:pPr>
              <w:rPr>
                <w:rFonts w:ascii="Times New Roman" w:hAnsi="Times New Roman" w:cs="Times New Roman"/>
                <w:sz w:val="24"/>
                <w:szCs w:val="24"/>
              </w:rPr>
            </w:pPr>
          </w:p>
        </w:tc>
        <w:tc>
          <w:tcPr>
            <w:tcW w:w="1620" w:type="dxa"/>
          </w:tcPr>
          <w:p w14:paraId="056EDA4C" w14:textId="77777777" w:rsidR="007E1B0B" w:rsidRPr="000D3717" w:rsidRDefault="007E1B0B" w:rsidP="008D7069">
            <w:pPr>
              <w:rPr>
                <w:rFonts w:ascii="Times New Roman" w:hAnsi="Times New Roman" w:cs="Times New Roman"/>
                <w:sz w:val="24"/>
                <w:szCs w:val="24"/>
              </w:rPr>
            </w:pPr>
          </w:p>
        </w:tc>
        <w:tc>
          <w:tcPr>
            <w:tcW w:w="2610" w:type="dxa"/>
          </w:tcPr>
          <w:p w14:paraId="08B93874" w14:textId="77777777" w:rsidR="007E1B0B" w:rsidRPr="000D3717" w:rsidRDefault="007E1B0B" w:rsidP="008D7069">
            <w:pPr>
              <w:rPr>
                <w:rFonts w:ascii="Times New Roman" w:hAnsi="Times New Roman" w:cs="Times New Roman"/>
                <w:sz w:val="24"/>
                <w:szCs w:val="24"/>
              </w:rPr>
            </w:pPr>
          </w:p>
        </w:tc>
      </w:tr>
      <w:tr w:rsidR="007E1B0B" w:rsidRPr="000D3717" w14:paraId="24192CC5" w14:textId="77777777" w:rsidTr="00595960">
        <w:tc>
          <w:tcPr>
            <w:tcW w:w="1710" w:type="dxa"/>
            <w:vMerge/>
          </w:tcPr>
          <w:p w14:paraId="4E9E596B" w14:textId="77777777" w:rsidR="007E1B0B" w:rsidRPr="000D3717" w:rsidRDefault="007E1B0B" w:rsidP="008D7069">
            <w:pPr>
              <w:rPr>
                <w:rFonts w:ascii="Times New Roman" w:hAnsi="Times New Roman" w:cs="Times New Roman"/>
                <w:sz w:val="24"/>
                <w:szCs w:val="24"/>
              </w:rPr>
            </w:pPr>
          </w:p>
        </w:tc>
        <w:tc>
          <w:tcPr>
            <w:tcW w:w="4163" w:type="dxa"/>
          </w:tcPr>
          <w:p w14:paraId="2BD94C04"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ndikohen vendet e punës në një sektor të caktuar të biznesit?</w:t>
            </w:r>
          </w:p>
        </w:tc>
        <w:tc>
          <w:tcPr>
            <w:tcW w:w="810" w:type="dxa"/>
          </w:tcPr>
          <w:p w14:paraId="4A460FBE" w14:textId="77777777" w:rsidR="007E1B0B" w:rsidRPr="000D3717" w:rsidRDefault="007E1B0B" w:rsidP="008D7069">
            <w:pPr>
              <w:rPr>
                <w:rFonts w:ascii="Times New Roman" w:hAnsi="Times New Roman" w:cs="Times New Roman"/>
                <w:sz w:val="24"/>
                <w:szCs w:val="24"/>
              </w:rPr>
            </w:pPr>
          </w:p>
        </w:tc>
        <w:tc>
          <w:tcPr>
            <w:tcW w:w="787" w:type="dxa"/>
          </w:tcPr>
          <w:p w14:paraId="7CD6C123" w14:textId="790CCABC"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55BC691B" w14:textId="77777777" w:rsidR="007E1B0B" w:rsidRPr="000D3717" w:rsidRDefault="007E1B0B" w:rsidP="008D7069">
            <w:pPr>
              <w:rPr>
                <w:rFonts w:ascii="Times New Roman" w:hAnsi="Times New Roman" w:cs="Times New Roman"/>
                <w:sz w:val="24"/>
                <w:szCs w:val="24"/>
              </w:rPr>
            </w:pPr>
          </w:p>
        </w:tc>
        <w:tc>
          <w:tcPr>
            <w:tcW w:w="1620" w:type="dxa"/>
          </w:tcPr>
          <w:p w14:paraId="3819015B" w14:textId="77777777" w:rsidR="007E1B0B" w:rsidRPr="000D3717" w:rsidRDefault="007E1B0B" w:rsidP="008D7069">
            <w:pPr>
              <w:rPr>
                <w:rFonts w:ascii="Times New Roman" w:hAnsi="Times New Roman" w:cs="Times New Roman"/>
                <w:sz w:val="24"/>
                <w:szCs w:val="24"/>
              </w:rPr>
            </w:pPr>
          </w:p>
        </w:tc>
        <w:tc>
          <w:tcPr>
            <w:tcW w:w="2610" w:type="dxa"/>
          </w:tcPr>
          <w:p w14:paraId="3255E404" w14:textId="77777777" w:rsidR="007E1B0B" w:rsidRPr="000D3717" w:rsidRDefault="007E1B0B" w:rsidP="008D7069">
            <w:pPr>
              <w:rPr>
                <w:rFonts w:ascii="Times New Roman" w:hAnsi="Times New Roman" w:cs="Times New Roman"/>
                <w:sz w:val="24"/>
                <w:szCs w:val="24"/>
              </w:rPr>
            </w:pPr>
          </w:p>
        </w:tc>
      </w:tr>
      <w:tr w:rsidR="007E1B0B" w:rsidRPr="000D3717" w14:paraId="44851845" w14:textId="77777777" w:rsidTr="00595960">
        <w:tc>
          <w:tcPr>
            <w:tcW w:w="1710" w:type="dxa"/>
            <w:vMerge/>
          </w:tcPr>
          <w:p w14:paraId="74D747B2" w14:textId="77777777" w:rsidR="007E1B0B" w:rsidRPr="000D3717" w:rsidRDefault="007E1B0B" w:rsidP="008D7069">
            <w:pPr>
              <w:rPr>
                <w:rFonts w:ascii="Times New Roman" w:hAnsi="Times New Roman" w:cs="Times New Roman"/>
                <w:sz w:val="24"/>
                <w:szCs w:val="24"/>
              </w:rPr>
            </w:pPr>
          </w:p>
        </w:tc>
        <w:tc>
          <w:tcPr>
            <w:tcW w:w="4163" w:type="dxa"/>
          </w:tcPr>
          <w:p w14:paraId="01E67878"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ketë ndonjë ndikim në nivelin e pagesës?</w:t>
            </w:r>
          </w:p>
        </w:tc>
        <w:tc>
          <w:tcPr>
            <w:tcW w:w="810" w:type="dxa"/>
          </w:tcPr>
          <w:p w14:paraId="01A8505D" w14:textId="77777777" w:rsidR="007E1B0B" w:rsidRPr="000D3717" w:rsidRDefault="007E1B0B" w:rsidP="008D7069">
            <w:pPr>
              <w:rPr>
                <w:rFonts w:ascii="Times New Roman" w:hAnsi="Times New Roman" w:cs="Times New Roman"/>
                <w:sz w:val="24"/>
                <w:szCs w:val="24"/>
              </w:rPr>
            </w:pPr>
          </w:p>
        </w:tc>
        <w:tc>
          <w:tcPr>
            <w:tcW w:w="787" w:type="dxa"/>
          </w:tcPr>
          <w:p w14:paraId="311FBF2E" w14:textId="49114781"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29F60573" w14:textId="77777777" w:rsidR="007E1B0B" w:rsidRPr="000D3717" w:rsidRDefault="007E1B0B" w:rsidP="008D7069">
            <w:pPr>
              <w:rPr>
                <w:rFonts w:ascii="Times New Roman" w:hAnsi="Times New Roman" w:cs="Times New Roman"/>
                <w:sz w:val="24"/>
                <w:szCs w:val="24"/>
              </w:rPr>
            </w:pPr>
          </w:p>
        </w:tc>
        <w:tc>
          <w:tcPr>
            <w:tcW w:w="1620" w:type="dxa"/>
          </w:tcPr>
          <w:p w14:paraId="5E3BC6E2" w14:textId="77777777" w:rsidR="007E1B0B" w:rsidRPr="000D3717" w:rsidRDefault="007E1B0B" w:rsidP="008D7069">
            <w:pPr>
              <w:rPr>
                <w:rFonts w:ascii="Times New Roman" w:hAnsi="Times New Roman" w:cs="Times New Roman"/>
                <w:sz w:val="24"/>
                <w:szCs w:val="24"/>
              </w:rPr>
            </w:pPr>
          </w:p>
        </w:tc>
        <w:tc>
          <w:tcPr>
            <w:tcW w:w="2610" w:type="dxa"/>
          </w:tcPr>
          <w:p w14:paraId="3649B3D7" w14:textId="77777777" w:rsidR="007E1B0B" w:rsidRPr="000D3717" w:rsidRDefault="007E1B0B" w:rsidP="008D7069">
            <w:pPr>
              <w:rPr>
                <w:rFonts w:ascii="Times New Roman" w:hAnsi="Times New Roman" w:cs="Times New Roman"/>
                <w:sz w:val="24"/>
                <w:szCs w:val="24"/>
              </w:rPr>
            </w:pPr>
          </w:p>
        </w:tc>
      </w:tr>
      <w:tr w:rsidR="007E1B0B" w:rsidRPr="000D3717" w14:paraId="784230EB" w14:textId="77777777" w:rsidTr="00595960">
        <w:tc>
          <w:tcPr>
            <w:tcW w:w="1710" w:type="dxa"/>
            <w:vMerge/>
          </w:tcPr>
          <w:p w14:paraId="4100EEC0" w14:textId="77777777" w:rsidR="007E1B0B" w:rsidRPr="000D3717" w:rsidRDefault="007E1B0B" w:rsidP="008D7069">
            <w:pPr>
              <w:rPr>
                <w:rFonts w:ascii="Times New Roman" w:hAnsi="Times New Roman" w:cs="Times New Roman"/>
                <w:sz w:val="24"/>
                <w:szCs w:val="24"/>
              </w:rPr>
            </w:pPr>
          </w:p>
        </w:tc>
        <w:tc>
          <w:tcPr>
            <w:tcW w:w="4163" w:type="dxa"/>
          </w:tcPr>
          <w:p w14:paraId="5BD413DD" w14:textId="77777777" w:rsidR="007E1B0B" w:rsidRPr="000D3717" w:rsidRDefault="007E1B0B" w:rsidP="002D58A3">
            <w:pPr>
              <w:jc w:val="both"/>
              <w:rPr>
                <w:rFonts w:ascii="Times New Roman" w:hAnsi="Times New Roman" w:cs="Times New Roman"/>
                <w:sz w:val="24"/>
                <w:szCs w:val="24"/>
              </w:rPr>
            </w:pPr>
            <w:r w:rsidRPr="000D3717">
              <w:rPr>
                <w:rFonts w:ascii="Times New Roman" w:hAnsi="Times New Roman" w:cs="Times New Roman"/>
                <w:sz w:val="24"/>
                <w:szCs w:val="24"/>
              </w:rPr>
              <w:t>A do të ketë ndikim në lehtësimin e gjetjes së një vendi të punës?</w:t>
            </w:r>
          </w:p>
        </w:tc>
        <w:tc>
          <w:tcPr>
            <w:tcW w:w="810" w:type="dxa"/>
          </w:tcPr>
          <w:p w14:paraId="720AF680" w14:textId="77777777" w:rsidR="007E1B0B" w:rsidRPr="000D3717" w:rsidRDefault="007E1B0B" w:rsidP="008D7069">
            <w:pPr>
              <w:rPr>
                <w:rFonts w:ascii="Times New Roman" w:hAnsi="Times New Roman" w:cs="Times New Roman"/>
                <w:sz w:val="24"/>
                <w:szCs w:val="24"/>
              </w:rPr>
            </w:pPr>
          </w:p>
        </w:tc>
        <w:tc>
          <w:tcPr>
            <w:tcW w:w="787" w:type="dxa"/>
          </w:tcPr>
          <w:p w14:paraId="299F77F3" w14:textId="553B04FA"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65C96B09" w14:textId="77777777" w:rsidR="007E1B0B" w:rsidRPr="000D3717" w:rsidRDefault="007E1B0B" w:rsidP="008D7069">
            <w:pPr>
              <w:rPr>
                <w:rFonts w:ascii="Times New Roman" w:hAnsi="Times New Roman" w:cs="Times New Roman"/>
                <w:sz w:val="24"/>
                <w:szCs w:val="24"/>
              </w:rPr>
            </w:pPr>
          </w:p>
        </w:tc>
        <w:tc>
          <w:tcPr>
            <w:tcW w:w="1620" w:type="dxa"/>
          </w:tcPr>
          <w:p w14:paraId="7B1C163A" w14:textId="77777777" w:rsidR="007E1B0B" w:rsidRPr="000D3717" w:rsidRDefault="007E1B0B" w:rsidP="008D7069">
            <w:pPr>
              <w:rPr>
                <w:rFonts w:ascii="Times New Roman" w:hAnsi="Times New Roman" w:cs="Times New Roman"/>
                <w:sz w:val="24"/>
                <w:szCs w:val="24"/>
              </w:rPr>
            </w:pPr>
          </w:p>
        </w:tc>
        <w:tc>
          <w:tcPr>
            <w:tcW w:w="2610" w:type="dxa"/>
          </w:tcPr>
          <w:p w14:paraId="7F8DA6BA" w14:textId="77777777" w:rsidR="007E1B0B" w:rsidRPr="000D3717" w:rsidRDefault="007E1B0B" w:rsidP="008D7069">
            <w:pPr>
              <w:rPr>
                <w:rFonts w:ascii="Times New Roman" w:hAnsi="Times New Roman" w:cs="Times New Roman"/>
                <w:sz w:val="24"/>
                <w:szCs w:val="24"/>
              </w:rPr>
            </w:pPr>
          </w:p>
        </w:tc>
      </w:tr>
      <w:tr w:rsidR="007E1B0B" w:rsidRPr="000D3717" w14:paraId="0F80BE8A" w14:textId="77777777" w:rsidTr="00595960">
        <w:tc>
          <w:tcPr>
            <w:tcW w:w="1710" w:type="dxa"/>
          </w:tcPr>
          <w:p w14:paraId="1E5B913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Ndikimet shoqërore rajonale</w:t>
            </w:r>
          </w:p>
        </w:tc>
        <w:tc>
          <w:tcPr>
            <w:tcW w:w="4163" w:type="dxa"/>
          </w:tcPr>
          <w:p w14:paraId="39DFEAB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janë ndikimet shoqërore të përqendruara në një rajon apo qytete të veçanta?</w:t>
            </w:r>
          </w:p>
        </w:tc>
        <w:tc>
          <w:tcPr>
            <w:tcW w:w="810" w:type="dxa"/>
          </w:tcPr>
          <w:p w14:paraId="5E3B42BE" w14:textId="77777777" w:rsidR="007E1B0B" w:rsidRPr="000D3717" w:rsidRDefault="007E1B0B" w:rsidP="008D7069">
            <w:pPr>
              <w:rPr>
                <w:rFonts w:ascii="Times New Roman" w:hAnsi="Times New Roman" w:cs="Times New Roman"/>
                <w:sz w:val="24"/>
                <w:szCs w:val="24"/>
              </w:rPr>
            </w:pPr>
          </w:p>
        </w:tc>
        <w:tc>
          <w:tcPr>
            <w:tcW w:w="787" w:type="dxa"/>
          </w:tcPr>
          <w:p w14:paraId="227C66F1" w14:textId="6DFED468"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1985DEF4" w14:textId="77777777" w:rsidR="007E1B0B" w:rsidRPr="000D3717" w:rsidRDefault="007E1B0B" w:rsidP="008D7069">
            <w:pPr>
              <w:rPr>
                <w:rFonts w:ascii="Times New Roman" w:hAnsi="Times New Roman" w:cs="Times New Roman"/>
                <w:sz w:val="24"/>
                <w:szCs w:val="24"/>
              </w:rPr>
            </w:pPr>
          </w:p>
        </w:tc>
        <w:tc>
          <w:tcPr>
            <w:tcW w:w="1620" w:type="dxa"/>
          </w:tcPr>
          <w:p w14:paraId="3FC70158" w14:textId="77777777" w:rsidR="007E1B0B" w:rsidRPr="000D3717" w:rsidRDefault="007E1B0B" w:rsidP="008D7069">
            <w:pPr>
              <w:rPr>
                <w:rFonts w:ascii="Times New Roman" w:hAnsi="Times New Roman" w:cs="Times New Roman"/>
                <w:sz w:val="24"/>
                <w:szCs w:val="24"/>
              </w:rPr>
            </w:pPr>
          </w:p>
        </w:tc>
        <w:tc>
          <w:tcPr>
            <w:tcW w:w="2610" w:type="dxa"/>
          </w:tcPr>
          <w:p w14:paraId="508B6A7B" w14:textId="77777777" w:rsidR="007E1B0B" w:rsidRPr="000D3717" w:rsidRDefault="007E1B0B" w:rsidP="008D7069">
            <w:pPr>
              <w:rPr>
                <w:rFonts w:ascii="Times New Roman" w:hAnsi="Times New Roman" w:cs="Times New Roman"/>
                <w:sz w:val="24"/>
                <w:szCs w:val="24"/>
              </w:rPr>
            </w:pPr>
          </w:p>
        </w:tc>
      </w:tr>
      <w:tr w:rsidR="007E1B0B" w:rsidRPr="000D3717" w14:paraId="4171930C" w14:textId="77777777" w:rsidTr="00595960">
        <w:tc>
          <w:tcPr>
            <w:tcW w:w="1710" w:type="dxa"/>
            <w:vMerge w:val="restart"/>
          </w:tcPr>
          <w:p w14:paraId="591A5D0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Kushtet e punës</w:t>
            </w:r>
          </w:p>
        </w:tc>
        <w:tc>
          <w:tcPr>
            <w:tcW w:w="4163" w:type="dxa"/>
          </w:tcPr>
          <w:p w14:paraId="63704F9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ndikohen të drejtat e punëtorëve?</w:t>
            </w:r>
          </w:p>
        </w:tc>
        <w:tc>
          <w:tcPr>
            <w:tcW w:w="810" w:type="dxa"/>
          </w:tcPr>
          <w:p w14:paraId="66A9BFC6" w14:textId="77777777" w:rsidR="007E1B0B" w:rsidRPr="000D3717" w:rsidRDefault="007E1B0B" w:rsidP="008D7069">
            <w:pPr>
              <w:rPr>
                <w:rFonts w:ascii="Times New Roman" w:hAnsi="Times New Roman" w:cs="Times New Roman"/>
                <w:sz w:val="24"/>
                <w:szCs w:val="24"/>
              </w:rPr>
            </w:pPr>
          </w:p>
        </w:tc>
        <w:tc>
          <w:tcPr>
            <w:tcW w:w="787" w:type="dxa"/>
          </w:tcPr>
          <w:p w14:paraId="192EF50F" w14:textId="5EFD6246"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397C0A08" w14:textId="77777777" w:rsidR="007E1B0B" w:rsidRPr="000D3717" w:rsidRDefault="007E1B0B" w:rsidP="008D7069">
            <w:pPr>
              <w:rPr>
                <w:rFonts w:ascii="Times New Roman" w:hAnsi="Times New Roman" w:cs="Times New Roman"/>
                <w:sz w:val="24"/>
                <w:szCs w:val="24"/>
              </w:rPr>
            </w:pPr>
          </w:p>
        </w:tc>
        <w:tc>
          <w:tcPr>
            <w:tcW w:w="1620" w:type="dxa"/>
          </w:tcPr>
          <w:p w14:paraId="6699969E" w14:textId="77777777" w:rsidR="007E1B0B" w:rsidRPr="000D3717" w:rsidRDefault="007E1B0B" w:rsidP="008D7069">
            <w:pPr>
              <w:rPr>
                <w:rFonts w:ascii="Times New Roman" w:hAnsi="Times New Roman" w:cs="Times New Roman"/>
                <w:sz w:val="24"/>
                <w:szCs w:val="24"/>
              </w:rPr>
            </w:pPr>
          </w:p>
        </w:tc>
        <w:tc>
          <w:tcPr>
            <w:tcW w:w="2610" w:type="dxa"/>
          </w:tcPr>
          <w:p w14:paraId="2D3410B4" w14:textId="77777777" w:rsidR="007E1B0B" w:rsidRPr="000D3717" w:rsidRDefault="007E1B0B" w:rsidP="008D7069">
            <w:pPr>
              <w:rPr>
                <w:rFonts w:ascii="Times New Roman" w:hAnsi="Times New Roman" w:cs="Times New Roman"/>
                <w:sz w:val="24"/>
                <w:szCs w:val="24"/>
              </w:rPr>
            </w:pPr>
          </w:p>
        </w:tc>
      </w:tr>
      <w:tr w:rsidR="007E1B0B" w:rsidRPr="000D3717" w14:paraId="42E17E73" w14:textId="77777777" w:rsidTr="00595960">
        <w:tc>
          <w:tcPr>
            <w:tcW w:w="1710" w:type="dxa"/>
            <w:vMerge/>
          </w:tcPr>
          <w:p w14:paraId="3D22FC0A" w14:textId="77777777" w:rsidR="007E1B0B" w:rsidRPr="000D3717" w:rsidRDefault="007E1B0B" w:rsidP="008D7069">
            <w:pPr>
              <w:rPr>
                <w:rFonts w:ascii="Times New Roman" w:hAnsi="Times New Roman" w:cs="Times New Roman"/>
                <w:sz w:val="24"/>
                <w:szCs w:val="24"/>
              </w:rPr>
            </w:pPr>
          </w:p>
        </w:tc>
        <w:tc>
          <w:tcPr>
            <w:tcW w:w="4163" w:type="dxa"/>
          </w:tcPr>
          <w:p w14:paraId="022BECD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parashihen apo shfuqizohen standardet për punën në kushte të rrezikshme?</w:t>
            </w:r>
          </w:p>
        </w:tc>
        <w:tc>
          <w:tcPr>
            <w:tcW w:w="810" w:type="dxa"/>
          </w:tcPr>
          <w:p w14:paraId="6A28D7F4" w14:textId="77777777" w:rsidR="007E1B0B" w:rsidRPr="000D3717" w:rsidRDefault="007E1B0B" w:rsidP="008D7069">
            <w:pPr>
              <w:rPr>
                <w:rFonts w:ascii="Times New Roman" w:hAnsi="Times New Roman" w:cs="Times New Roman"/>
                <w:sz w:val="24"/>
                <w:szCs w:val="24"/>
              </w:rPr>
            </w:pPr>
          </w:p>
        </w:tc>
        <w:tc>
          <w:tcPr>
            <w:tcW w:w="787" w:type="dxa"/>
          </w:tcPr>
          <w:p w14:paraId="3BF1972A" w14:textId="30B5F3FC"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3E4109D7" w14:textId="77777777" w:rsidR="007E1B0B" w:rsidRPr="000D3717" w:rsidRDefault="007E1B0B" w:rsidP="008D7069">
            <w:pPr>
              <w:rPr>
                <w:rFonts w:ascii="Times New Roman" w:hAnsi="Times New Roman" w:cs="Times New Roman"/>
                <w:sz w:val="24"/>
                <w:szCs w:val="24"/>
              </w:rPr>
            </w:pPr>
          </w:p>
        </w:tc>
        <w:tc>
          <w:tcPr>
            <w:tcW w:w="1620" w:type="dxa"/>
          </w:tcPr>
          <w:p w14:paraId="60233FF1" w14:textId="77777777" w:rsidR="007E1B0B" w:rsidRPr="000D3717" w:rsidRDefault="007E1B0B" w:rsidP="008D7069">
            <w:pPr>
              <w:rPr>
                <w:rFonts w:ascii="Times New Roman" w:hAnsi="Times New Roman" w:cs="Times New Roman"/>
                <w:sz w:val="24"/>
                <w:szCs w:val="24"/>
              </w:rPr>
            </w:pPr>
          </w:p>
        </w:tc>
        <w:tc>
          <w:tcPr>
            <w:tcW w:w="2610" w:type="dxa"/>
          </w:tcPr>
          <w:p w14:paraId="4358DB4A" w14:textId="77777777" w:rsidR="007E1B0B" w:rsidRPr="000D3717" w:rsidRDefault="007E1B0B" w:rsidP="008D7069">
            <w:pPr>
              <w:rPr>
                <w:rFonts w:ascii="Times New Roman" w:hAnsi="Times New Roman" w:cs="Times New Roman"/>
                <w:sz w:val="24"/>
                <w:szCs w:val="24"/>
              </w:rPr>
            </w:pPr>
          </w:p>
        </w:tc>
      </w:tr>
      <w:tr w:rsidR="007E1B0B" w:rsidRPr="000D3717" w14:paraId="71C5ED35" w14:textId="77777777" w:rsidTr="00595960">
        <w:tc>
          <w:tcPr>
            <w:tcW w:w="1710" w:type="dxa"/>
            <w:vMerge/>
          </w:tcPr>
          <w:p w14:paraId="5FBCD013" w14:textId="77777777" w:rsidR="007E1B0B" w:rsidRPr="000D3717" w:rsidRDefault="007E1B0B" w:rsidP="008D7069">
            <w:pPr>
              <w:rPr>
                <w:rFonts w:ascii="Times New Roman" w:hAnsi="Times New Roman" w:cs="Times New Roman"/>
                <w:sz w:val="24"/>
                <w:szCs w:val="24"/>
              </w:rPr>
            </w:pPr>
          </w:p>
        </w:tc>
        <w:tc>
          <w:tcPr>
            <w:tcW w:w="4163" w:type="dxa"/>
          </w:tcPr>
          <w:p w14:paraId="698761F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mbi mënyrën e  zhvillimit të dialogut social ndërmjet punonjësve dhe punëdhënësve?</w:t>
            </w:r>
          </w:p>
        </w:tc>
        <w:tc>
          <w:tcPr>
            <w:tcW w:w="810" w:type="dxa"/>
          </w:tcPr>
          <w:p w14:paraId="09C6EEC5" w14:textId="77777777" w:rsidR="007E1B0B" w:rsidRPr="000D3717" w:rsidRDefault="007E1B0B" w:rsidP="008D7069">
            <w:pPr>
              <w:rPr>
                <w:rFonts w:ascii="Times New Roman" w:hAnsi="Times New Roman" w:cs="Times New Roman"/>
                <w:sz w:val="24"/>
                <w:szCs w:val="24"/>
              </w:rPr>
            </w:pPr>
          </w:p>
        </w:tc>
        <w:tc>
          <w:tcPr>
            <w:tcW w:w="787" w:type="dxa"/>
          </w:tcPr>
          <w:p w14:paraId="2FC2B676" w14:textId="5FC79EDE"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5BDE9DDD" w14:textId="77777777" w:rsidR="007E1B0B" w:rsidRPr="000D3717" w:rsidRDefault="007E1B0B" w:rsidP="008D7069">
            <w:pPr>
              <w:rPr>
                <w:rFonts w:ascii="Times New Roman" w:hAnsi="Times New Roman" w:cs="Times New Roman"/>
                <w:sz w:val="24"/>
                <w:szCs w:val="24"/>
              </w:rPr>
            </w:pPr>
          </w:p>
        </w:tc>
        <w:tc>
          <w:tcPr>
            <w:tcW w:w="1620" w:type="dxa"/>
          </w:tcPr>
          <w:p w14:paraId="065B0EB1" w14:textId="77777777" w:rsidR="007E1B0B" w:rsidRPr="000D3717" w:rsidRDefault="007E1B0B" w:rsidP="008D7069">
            <w:pPr>
              <w:rPr>
                <w:rFonts w:ascii="Times New Roman" w:hAnsi="Times New Roman" w:cs="Times New Roman"/>
                <w:sz w:val="24"/>
                <w:szCs w:val="24"/>
              </w:rPr>
            </w:pPr>
          </w:p>
        </w:tc>
        <w:tc>
          <w:tcPr>
            <w:tcW w:w="2610" w:type="dxa"/>
          </w:tcPr>
          <w:p w14:paraId="6E4F42E3" w14:textId="77777777" w:rsidR="007E1B0B" w:rsidRPr="000D3717" w:rsidRDefault="007E1B0B" w:rsidP="008D7069">
            <w:pPr>
              <w:rPr>
                <w:rFonts w:ascii="Times New Roman" w:hAnsi="Times New Roman" w:cs="Times New Roman"/>
                <w:sz w:val="24"/>
                <w:szCs w:val="24"/>
              </w:rPr>
            </w:pPr>
          </w:p>
        </w:tc>
      </w:tr>
      <w:tr w:rsidR="007E1B0B" w:rsidRPr="000D3717" w14:paraId="2D8A2913" w14:textId="77777777" w:rsidTr="00595960">
        <w:tc>
          <w:tcPr>
            <w:tcW w:w="1710" w:type="dxa"/>
            <w:vMerge w:val="restart"/>
          </w:tcPr>
          <w:p w14:paraId="5129F61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Përfshirja sociale</w:t>
            </w:r>
          </w:p>
        </w:tc>
        <w:tc>
          <w:tcPr>
            <w:tcW w:w="4163" w:type="dxa"/>
          </w:tcPr>
          <w:p w14:paraId="51D21F6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mbi varfërinë?</w:t>
            </w:r>
          </w:p>
        </w:tc>
        <w:tc>
          <w:tcPr>
            <w:tcW w:w="810" w:type="dxa"/>
          </w:tcPr>
          <w:p w14:paraId="050C815A" w14:textId="77777777" w:rsidR="007E1B0B" w:rsidRPr="000D3717" w:rsidRDefault="007E1B0B" w:rsidP="008D7069">
            <w:pPr>
              <w:rPr>
                <w:rFonts w:ascii="Times New Roman" w:hAnsi="Times New Roman" w:cs="Times New Roman"/>
                <w:sz w:val="24"/>
                <w:szCs w:val="24"/>
              </w:rPr>
            </w:pPr>
          </w:p>
        </w:tc>
        <w:tc>
          <w:tcPr>
            <w:tcW w:w="787" w:type="dxa"/>
          </w:tcPr>
          <w:p w14:paraId="4BCB0AA0" w14:textId="4C953477"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4763670E" w14:textId="77777777" w:rsidR="007E1B0B" w:rsidRPr="000D3717" w:rsidRDefault="007E1B0B" w:rsidP="008D7069">
            <w:pPr>
              <w:rPr>
                <w:rFonts w:ascii="Times New Roman" w:hAnsi="Times New Roman" w:cs="Times New Roman"/>
                <w:sz w:val="24"/>
                <w:szCs w:val="24"/>
              </w:rPr>
            </w:pPr>
          </w:p>
        </w:tc>
        <w:tc>
          <w:tcPr>
            <w:tcW w:w="1620" w:type="dxa"/>
          </w:tcPr>
          <w:p w14:paraId="4B755023" w14:textId="77777777" w:rsidR="007E1B0B" w:rsidRPr="000D3717" w:rsidRDefault="007E1B0B" w:rsidP="008D7069">
            <w:pPr>
              <w:rPr>
                <w:rFonts w:ascii="Times New Roman" w:hAnsi="Times New Roman" w:cs="Times New Roman"/>
                <w:sz w:val="24"/>
                <w:szCs w:val="24"/>
              </w:rPr>
            </w:pPr>
          </w:p>
        </w:tc>
        <w:tc>
          <w:tcPr>
            <w:tcW w:w="2610" w:type="dxa"/>
          </w:tcPr>
          <w:p w14:paraId="6E903690" w14:textId="77777777" w:rsidR="007E1B0B" w:rsidRPr="000D3717" w:rsidRDefault="007E1B0B" w:rsidP="008D7069">
            <w:pPr>
              <w:rPr>
                <w:rFonts w:ascii="Times New Roman" w:hAnsi="Times New Roman" w:cs="Times New Roman"/>
                <w:sz w:val="24"/>
                <w:szCs w:val="24"/>
              </w:rPr>
            </w:pPr>
          </w:p>
        </w:tc>
      </w:tr>
      <w:tr w:rsidR="007E1B0B" w:rsidRPr="000D3717" w14:paraId="05CE7BD7" w14:textId="77777777" w:rsidTr="00595960">
        <w:tc>
          <w:tcPr>
            <w:tcW w:w="1710" w:type="dxa"/>
            <w:vMerge/>
          </w:tcPr>
          <w:p w14:paraId="285693FF" w14:textId="77777777" w:rsidR="007E1B0B" w:rsidRPr="000D3717" w:rsidRDefault="007E1B0B" w:rsidP="008D7069">
            <w:pPr>
              <w:rPr>
                <w:rFonts w:ascii="Times New Roman" w:hAnsi="Times New Roman" w:cs="Times New Roman"/>
                <w:sz w:val="24"/>
                <w:szCs w:val="24"/>
              </w:rPr>
            </w:pPr>
          </w:p>
        </w:tc>
        <w:tc>
          <w:tcPr>
            <w:tcW w:w="4163" w:type="dxa"/>
          </w:tcPr>
          <w:p w14:paraId="1C786C2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ndikohet qasja në skemat e mbrojtjes sociale?</w:t>
            </w:r>
          </w:p>
        </w:tc>
        <w:tc>
          <w:tcPr>
            <w:tcW w:w="810" w:type="dxa"/>
          </w:tcPr>
          <w:p w14:paraId="52DA4885" w14:textId="77777777" w:rsidR="007E1B0B" w:rsidRPr="000D3717" w:rsidRDefault="007E1B0B" w:rsidP="008D7069">
            <w:pPr>
              <w:rPr>
                <w:rFonts w:ascii="Times New Roman" w:hAnsi="Times New Roman" w:cs="Times New Roman"/>
                <w:sz w:val="24"/>
                <w:szCs w:val="24"/>
              </w:rPr>
            </w:pPr>
          </w:p>
        </w:tc>
        <w:tc>
          <w:tcPr>
            <w:tcW w:w="787" w:type="dxa"/>
          </w:tcPr>
          <w:p w14:paraId="1B1CF82D" w14:textId="174E9000"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4169925E" w14:textId="77777777" w:rsidR="007E1B0B" w:rsidRPr="000D3717" w:rsidRDefault="007E1B0B" w:rsidP="008D7069">
            <w:pPr>
              <w:rPr>
                <w:rFonts w:ascii="Times New Roman" w:hAnsi="Times New Roman" w:cs="Times New Roman"/>
                <w:sz w:val="24"/>
                <w:szCs w:val="24"/>
              </w:rPr>
            </w:pPr>
          </w:p>
        </w:tc>
        <w:tc>
          <w:tcPr>
            <w:tcW w:w="1620" w:type="dxa"/>
          </w:tcPr>
          <w:p w14:paraId="0A20E696" w14:textId="77777777" w:rsidR="007E1B0B" w:rsidRPr="000D3717" w:rsidRDefault="007E1B0B" w:rsidP="008D7069">
            <w:pPr>
              <w:rPr>
                <w:rFonts w:ascii="Times New Roman" w:hAnsi="Times New Roman" w:cs="Times New Roman"/>
                <w:sz w:val="24"/>
                <w:szCs w:val="24"/>
              </w:rPr>
            </w:pPr>
          </w:p>
        </w:tc>
        <w:tc>
          <w:tcPr>
            <w:tcW w:w="2610" w:type="dxa"/>
          </w:tcPr>
          <w:p w14:paraId="2B3AB214" w14:textId="77777777" w:rsidR="007E1B0B" w:rsidRPr="000D3717" w:rsidRDefault="007E1B0B" w:rsidP="008D7069">
            <w:pPr>
              <w:rPr>
                <w:rFonts w:ascii="Times New Roman" w:hAnsi="Times New Roman" w:cs="Times New Roman"/>
                <w:sz w:val="24"/>
                <w:szCs w:val="24"/>
              </w:rPr>
            </w:pPr>
          </w:p>
        </w:tc>
      </w:tr>
      <w:tr w:rsidR="007E1B0B" w:rsidRPr="000D3717" w14:paraId="785DA554" w14:textId="77777777" w:rsidTr="00595960">
        <w:tc>
          <w:tcPr>
            <w:tcW w:w="1710" w:type="dxa"/>
            <w:vMerge/>
          </w:tcPr>
          <w:p w14:paraId="5D71A106" w14:textId="77777777" w:rsidR="007E1B0B" w:rsidRPr="000D3717" w:rsidRDefault="007E1B0B" w:rsidP="008D7069">
            <w:pPr>
              <w:rPr>
                <w:rFonts w:ascii="Times New Roman" w:hAnsi="Times New Roman" w:cs="Times New Roman"/>
                <w:sz w:val="24"/>
                <w:szCs w:val="24"/>
              </w:rPr>
            </w:pPr>
          </w:p>
        </w:tc>
        <w:tc>
          <w:tcPr>
            <w:tcW w:w="4163" w:type="dxa"/>
          </w:tcPr>
          <w:p w14:paraId="6B3B4CA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ndryshojë çmimi i mallrave dhe shërbimeve themelore?</w:t>
            </w:r>
          </w:p>
        </w:tc>
        <w:tc>
          <w:tcPr>
            <w:tcW w:w="810" w:type="dxa"/>
          </w:tcPr>
          <w:p w14:paraId="5CF97F75" w14:textId="77777777" w:rsidR="007E1B0B" w:rsidRPr="000D3717" w:rsidRDefault="007E1B0B" w:rsidP="008D7069">
            <w:pPr>
              <w:rPr>
                <w:rFonts w:ascii="Times New Roman" w:hAnsi="Times New Roman" w:cs="Times New Roman"/>
                <w:sz w:val="24"/>
                <w:szCs w:val="24"/>
              </w:rPr>
            </w:pPr>
          </w:p>
        </w:tc>
        <w:tc>
          <w:tcPr>
            <w:tcW w:w="787" w:type="dxa"/>
          </w:tcPr>
          <w:p w14:paraId="6A9B9A05" w14:textId="0E169374" w:rsidR="007E1B0B" w:rsidRPr="000D3717" w:rsidRDefault="007E1B0B" w:rsidP="008D7069">
            <w:pPr>
              <w:rPr>
                <w:rFonts w:ascii="Times New Roman" w:hAnsi="Times New Roman" w:cs="Times New Roman"/>
                <w:sz w:val="24"/>
                <w:szCs w:val="24"/>
              </w:rPr>
            </w:pPr>
            <w:r w:rsidRPr="00B45E08">
              <w:rPr>
                <w:rFonts w:ascii="Times New Roman" w:hAnsi="Times New Roman" w:cs="Times New Roman"/>
                <w:sz w:val="24"/>
                <w:szCs w:val="24"/>
              </w:rPr>
              <w:t>x</w:t>
            </w:r>
          </w:p>
        </w:tc>
        <w:tc>
          <w:tcPr>
            <w:tcW w:w="2340" w:type="dxa"/>
          </w:tcPr>
          <w:p w14:paraId="6E70AEF2" w14:textId="77777777" w:rsidR="007E1B0B" w:rsidRPr="000D3717" w:rsidRDefault="007E1B0B" w:rsidP="008D7069">
            <w:pPr>
              <w:rPr>
                <w:rFonts w:ascii="Times New Roman" w:hAnsi="Times New Roman" w:cs="Times New Roman"/>
                <w:sz w:val="24"/>
                <w:szCs w:val="24"/>
              </w:rPr>
            </w:pPr>
          </w:p>
        </w:tc>
        <w:tc>
          <w:tcPr>
            <w:tcW w:w="1620" w:type="dxa"/>
          </w:tcPr>
          <w:p w14:paraId="73F460CA" w14:textId="77777777" w:rsidR="007E1B0B" w:rsidRPr="000D3717" w:rsidRDefault="007E1B0B" w:rsidP="008D7069">
            <w:pPr>
              <w:rPr>
                <w:rFonts w:ascii="Times New Roman" w:hAnsi="Times New Roman" w:cs="Times New Roman"/>
                <w:sz w:val="24"/>
                <w:szCs w:val="24"/>
              </w:rPr>
            </w:pPr>
          </w:p>
        </w:tc>
        <w:tc>
          <w:tcPr>
            <w:tcW w:w="2610" w:type="dxa"/>
          </w:tcPr>
          <w:p w14:paraId="01320E5D" w14:textId="77777777" w:rsidR="007E1B0B" w:rsidRPr="000D3717" w:rsidRDefault="007E1B0B" w:rsidP="008D7069">
            <w:pPr>
              <w:rPr>
                <w:rFonts w:ascii="Times New Roman" w:hAnsi="Times New Roman" w:cs="Times New Roman"/>
                <w:sz w:val="24"/>
                <w:szCs w:val="24"/>
              </w:rPr>
            </w:pPr>
          </w:p>
        </w:tc>
      </w:tr>
      <w:tr w:rsidR="007E1B0B" w:rsidRPr="000D3717" w14:paraId="748CA11F" w14:textId="77777777" w:rsidTr="00595960">
        <w:tc>
          <w:tcPr>
            <w:tcW w:w="1710" w:type="dxa"/>
            <w:vMerge/>
          </w:tcPr>
          <w:p w14:paraId="3B9C736A" w14:textId="77777777" w:rsidR="007E1B0B" w:rsidRPr="000D3717" w:rsidRDefault="007E1B0B" w:rsidP="008D7069">
            <w:pPr>
              <w:rPr>
                <w:rFonts w:ascii="Times New Roman" w:hAnsi="Times New Roman" w:cs="Times New Roman"/>
                <w:sz w:val="24"/>
                <w:szCs w:val="24"/>
              </w:rPr>
            </w:pPr>
          </w:p>
        </w:tc>
        <w:tc>
          <w:tcPr>
            <w:tcW w:w="4163" w:type="dxa"/>
          </w:tcPr>
          <w:p w14:paraId="7C047E19"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financimin apo organizimin e skemave të mbrojtjes sociale?</w:t>
            </w:r>
          </w:p>
        </w:tc>
        <w:tc>
          <w:tcPr>
            <w:tcW w:w="810" w:type="dxa"/>
          </w:tcPr>
          <w:p w14:paraId="5366880E" w14:textId="77777777" w:rsidR="007E1B0B" w:rsidRPr="000D3717" w:rsidRDefault="007E1B0B" w:rsidP="008D7069">
            <w:pPr>
              <w:rPr>
                <w:rFonts w:ascii="Times New Roman" w:hAnsi="Times New Roman" w:cs="Times New Roman"/>
                <w:sz w:val="24"/>
                <w:szCs w:val="24"/>
              </w:rPr>
            </w:pPr>
          </w:p>
        </w:tc>
        <w:tc>
          <w:tcPr>
            <w:tcW w:w="787" w:type="dxa"/>
          </w:tcPr>
          <w:p w14:paraId="1F7E6E69" w14:textId="1806F8D8"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505E6625" w14:textId="77777777" w:rsidR="007E1B0B" w:rsidRPr="000D3717" w:rsidRDefault="007E1B0B" w:rsidP="008D7069">
            <w:pPr>
              <w:rPr>
                <w:rFonts w:ascii="Times New Roman" w:hAnsi="Times New Roman" w:cs="Times New Roman"/>
                <w:sz w:val="24"/>
                <w:szCs w:val="24"/>
              </w:rPr>
            </w:pPr>
          </w:p>
        </w:tc>
        <w:tc>
          <w:tcPr>
            <w:tcW w:w="1620" w:type="dxa"/>
          </w:tcPr>
          <w:p w14:paraId="50817587" w14:textId="77777777" w:rsidR="007E1B0B" w:rsidRPr="000D3717" w:rsidRDefault="007E1B0B" w:rsidP="008D7069">
            <w:pPr>
              <w:rPr>
                <w:rFonts w:ascii="Times New Roman" w:hAnsi="Times New Roman" w:cs="Times New Roman"/>
                <w:sz w:val="24"/>
                <w:szCs w:val="24"/>
              </w:rPr>
            </w:pPr>
          </w:p>
        </w:tc>
        <w:tc>
          <w:tcPr>
            <w:tcW w:w="2610" w:type="dxa"/>
          </w:tcPr>
          <w:p w14:paraId="11869EF4" w14:textId="77777777" w:rsidR="007E1B0B" w:rsidRPr="000D3717" w:rsidRDefault="007E1B0B" w:rsidP="008D7069">
            <w:pPr>
              <w:rPr>
                <w:rFonts w:ascii="Times New Roman" w:hAnsi="Times New Roman" w:cs="Times New Roman"/>
                <w:sz w:val="24"/>
                <w:szCs w:val="24"/>
              </w:rPr>
            </w:pPr>
          </w:p>
        </w:tc>
      </w:tr>
      <w:tr w:rsidR="007E1B0B" w:rsidRPr="000D3717" w14:paraId="2F9B081D" w14:textId="77777777" w:rsidTr="00595960">
        <w:tc>
          <w:tcPr>
            <w:tcW w:w="1710" w:type="dxa"/>
            <w:vMerge w:val="restart"/>
          </w:tcPr>
          <w:p w14:paraId="520E221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Arsimi</w:t>
            </w:r>
          </w:p>
        </w:tc>
        <w:tc>
          <w:tcPr>
            <w:tcW w:w="4163" w:type="dxa"/>
          </w:tcPr>
          <w:p w14:paraId="033EA1B4"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arsimin fillor?</w:t>
            </w:r>
          </w:p>
        </w:tc>
        <w:tc>
          <w:tcPr>
            <w:tcW w:w="810" w:type="dxa"/>
          </w:tcPr>
          <w:p w14:paraId="14CE2599" w14:textId="77777777" w:rsidR="007E1B0B" w:rsidRPr="000D3717" w:rsidRDefault="007E1B0B" w:rsidP="008D7069">
            <w:pPr>
              <w:rPr>
                <w:rFonts w:ascii="Times New Roman" w:hAnsi="Times New Roman" w:cs="Times New Roman"/>
                <w:sz w:val="24"/>
                <w:szCs w:val="24"/>
              </w:rPr>
            </w:pPr>
          </w:p>
        </w:tc>
        <w:tc>
          <w:tcPr>
            <w:tcW w:w="787" w:type="dxa"/>
          </w:tcPr>
          <w:p w14:paraId="438522B2" w14:textId="372B0921"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6590D569" w14:textId="77777777" w:rsidR="007E1B0B" w:rsidRPr="000D3717" w:rsidRDefault="007E1B0B" w:rsidP="008D7069">
            <w:pPr>
              <w:rPr>
                <w:rFonts w:ascii="Times New Roman" w:hAnsi="Times New Roman" w:cs="Times New Roman"/>
                <w:sz w:val="24"/>
                <w:szCs w:val="24"/>
              </w:rPr>
            </w:pPr>
          </w:p>
        </w:tc>
        <w:tc>
          <w:tcPr>
            <w:tcW w:w="1620" w:type="dxa"/>
          </w:tcPr>
          <w:p w14:paraId="005819AE" w14:textId="77777777" w:rsidR="007E1B0B" w:rsidRPr="000D3717" w:rsidRDefault="007E1B0B" w:rsidP="008D7069">
            <w:pPr>
              <w:rPr>
                <w:rFonts w:ascii="Times New Roman" w:hAnsi="Times New Roman" w:cs="Times New Roman"/>
                <w:sz w:val="24"/>
                <w:szCs w:val="24"/>
              </w:rPr>
            </w:pPr>
          </w:p>
        </w:tc>
        <w:tc>
          <w:tcPr>
            <w:tcW w:w="2610" w:type="dxa"/>
          </w:tcPr>
          <w:p w14:paraId="4EDDD757" w14:textId="77777777" w:rsidR="007E1B0B" w:rsidRPr="000D3717" w:rsidRDefault="007E1B0B" w:rsidP="008D7069">
            <w:pPr>
              <w:rPr>
                <w:rFonts w:ascii="Times New Roman" w:hAnsi="Times New Roman" w:cs="Times New Roman"/>
                <w:sz w:val="24"/>
                <w:szCs w:val="24"/>
              </w:rPr>
            </w:pPr>
          </w:p>
        </w:tc>
      </w:tr>
      <w:tr w:rsidR="007E1B0B" w:rsidRPr="000D3717" w14:paraId="7B687746" w14:textId="77777777" w:rsidTr="00595960">
        <w:tc>
          <w:tcPr>
            <w:tcW w:w="1710" w:type="dxa"/>
            <w:vMerge/>
          </w:tcPr>
          <w:p w14:paraId="69930AC9" w14:textId="77777777" w:rsidR="007E1B0B" w:rsidRPr="000D3717" w:rsidRDefault="007E1B0B" w:rsidP="008D7069">
            <w:pPr>
              <w:rPr>
                <w:rFonts w:ascii="Times New Roman" w:hAnsi="Times New Roman" w:cs="Times New Roman"/>
                <w:sz w:val="24"/>
                <w:szCs w:val="24"/>
              </w:rPr>
            </w:pPr>
          </w:p>
        </w:tc>
        <w:tc>
          <w:tcPr>
            <w:tcW w:w="4163" w:type="dxa"/>
          </w:tcPr>
          <w:p w14:paraId="4911C172"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arsimin e mesëm?</w:t>
            </w:r>
          </w:p>
        </w:tc>
        <w:tc>
          <w:tcPr>
            <w:tcW w:w="810" w:type="dxa"/>
          </w:tcPr>
          <w:p w14:paraId="493718FE" w14:textId="77777777" w:rsidR="007E1B0B" w:rsidRPr="000D3717" w:rsidRDefault="007E1B0B" w:rsidP="008D7069">
            <w:pPr>
              <w:rPr>
                <w:rFonts w:ascii="Times New Roman" w:hAnsi="Times New Roman" w:cs="Times New Roman"/>
                <w:sz w:val="24"/>
                <w:szCs w:val="24"/>
              </w:rPr>
            </w:pPr>
          </w:p>
        </w:tc>
        <w:tc>
          <w:tcPr>
            <w:tcW w:w="787" w:type="dxa"/>
          </w:tcPr>
          <w:p w14:paraId="61C6954C" w14:textId="5F4068B3"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1A5A7A53" w14:textId="77777777" w:rsidR="007E1B0B" w:rsidRPr="000D3717" w:rsidRDefault="007E1B0B" w:rsidP="008D7069">
            <w:pPr>
              <w:rPr>
                <w:rFonts w:ascii="Times New Roman" w:hAnsi="Times New Roman" w:cs="Times New Roman"/>
                <w:sz w:val="24"/>
                <w:szCs w:val="24"/>
              </w:rPr>
            </w:pPr>
          </w:p>
        </w:tc>
        <w:tc>
          <w:tcPr>
            <w:tcW w:w="1620" w:type="dxa"/>
          </w:tcPr>
          <w:p w14:paraId="1C138358" w14:textId="77777777" w:rsidR="007E1B0B" w:rsidRPr="000D3717" w:rsidRDefault="007E1B0B" w:rsidP="008D7069">
            <w:pPr>
              <w:rPr>
                <w:rFonts w:ascii="Times New Roman" w:hAnsi="Times New Roman" w:cs="Times New Roman"/>
                <w:sz w:val="24"/>
                <w:szCs w:val="24"/>
              </w:rPr>
            </w:pPr>
          </w:p>
        </w:tc>
        <w:tc>
          <w:tcPr>
            <w:tcW w:w="2610" w:type="dxa"/>
          </w:tcPr>
          <w:p w14:paraId="33A27B7F" w14:textId="77777777" w:rsidR="007E1B0B" w:rsidRPr="000D3717" w:rsidRDefault="007E1B0B" w:rsidP="008D7069">
            <w:pPr>
              <w:rPr>
                <w:rFonts w:ascii="Times New Roman" w:hAnsi="Times New Roman" w:cs="Times New Roman"/>
                <w:sz w:val="24"/>
                <w:szCs w:val="24"/>
              </w:rPr>
            </w:pPr>
          </w:p>
        </w:tc>
      </w:tr>
      <w:tr w:rsidR="007E1B0B" w:rsidRPr="000D3717" w14:paraId="110E000F" w14:textId="77777777" w:rsidTr="00595960">
        <w:tc>
          <w:tcPr>
            <w:tcW w:w="1710" w:type="dxa"/>
            <w:vMerge/>
          </w:tcPr>
          <w:p w14:paraId="71B4A4D9" w14:textId="77777777" w:rsidR="007E1B0B" w:rsidRPr="000D3717" w:rsidRDefault="007E1B0B" w:rsidP="008D7069">
            <w:pPr>
              <w:rPr>
                <w:rFonts w:ascii="Times New Roman" w:hAnsi="Times New Roman" w:cs="Times New Roman"/>
                <w:sz w:val="24"/>
                <w:szCs w:val="24"/>
              </w:rPr>
            </w:pPr>
          </w:p>
        </w:tc>
        <w:tc>
          <w:tcPr>
            <w:tcW w:w="4163" w:type="dxa"/>
          </w:tcPr>
          <w:p w14:paraId="3A2512BE"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arsimin e lartë?</w:t>
            </w:r>
          </w:p>
        </w:tc>
        <w:tc>
          <w:tcPr>
            <w:tcW w:w="810" w:type="dxa"/>
          </w:tcPr>
          <w:p w14:paraId="3B4CCAE1" w14:textId="77777777" w:rsidR="007E1B0B" w:rsidRPr="000D3717" w:rsidRDefault="007E1B0B" w:rsidP="008D7069">
            <w:pPr>
              <w:rPr>
                <w:rFonts w:ascii="Times New Roman" w:hAnsi="Times New Roman" w:cs="Times New Roman"/>
                <w:sz w:val="24"/>
                <w:szCs w:val="24"/>
              </w:rPr>
            </w:pPr>
          </w:p>
        </w:tc>
        <w:tc>
          <w:tcPr>
            <w:tcW w:w="787" w:type="dxa"/>
          </w:tcPr>
          <w:p w14:paraId="0C0FFB00" w14:textId="4BDACA6A"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5C1CD9A2" w14:textId="77777777" w:rsidR="007E1B0B" w:rsidRPr="000D3717" w:rsidRDefault="007E1B0B" w:rsidP="008D7069">
            <w:pPr>
              <w:rPr>
                <w:rFonts w:ascii="Times New Roman" w:hAnsi="Times New Roman" w:cs="Times New Roman"/>
                <w:sz w:val="24"/>
                <w:szCs w:val="24"/>
              </w:rPr>
            </w:pPr>
          </w:p>
        </w:tc>
        <w:tc>
          <w:tcPr>
            <w:tcW w:w="1620" w:type="dxa"/>
          </w:tcPr>
          <w:p w14:paraId="59D60340" w14:textId="77777777" w:rsidR="007E1B0B" w:rsidRPr="000D3717" w:rsidRDefault="007E1B0B" w:rsidP="008D7069">
            <w:pPr>
              <w:rPr>
                <w:rFonts w:ascii="Times New Roman" w:hAnsi="Times New Roman" w:cs="Times New Roman"/>
                <w:sz w:val="24"/>
                <w:szCs w:val="24"/>
              </w:rPr>
            </w:pPr>
          </w:p>
        </w:tc>
        <w:tc>
          <w:tcPr>
            <w:tcW w:w="2610" w:type="dxa"/>
          </w:tcPr>
          <w:p w14:paraId="0247A192" w14:textId="77777777" w:rsidR="007E1B0B" w:rsidRPr="000D3717" w:rsidRDefault="007E1B0B" w:rsidP="008D7069">
            <w:pPr>
              <w:rPr>
                <w:rFonts w:ascii="Times New Roman" w:hAnsi="Times New Roman" w:cs="Times New Roman"/>
                <w:sz w:val="24"/>
                <w:szCs w:val="24"/>
              </w:rPr>
            </w:pPr>
          </w:p>
        </w:tc>
      </w:tr>
      <w:tr w:rsidR="007E1B0B" w:rsidRPr="000D3717" w14:paraId="06E750EA" w14:textId="77777777" w:rsidTr="00595960">
        <w:tc>
          <w:tcPr>
            <w:tcW w:w="1710" w:type="dxa"/>
            <w:vMerge/>
          </w:tcPr>
          <w:p w14:paraId="612504C2" w14:textId="77777777" w:rsidR="007E1B0B" w:rsidRPr="000D3717" w:rsidRDefault="007E1B0B" w:rsidP="008D7069">
            <w:pPr>
              <w:rPr>
                <w:rFonts w:ascii="Times New Roman" w:hAnsi="Times New Roman" w:cs="Times New Roman"/>
                <w:sz w:val="24"/>
                <w:szCs w:val="24"/>
              </w:rPr>
            </w:pPr>
          </w:p>
        </w:tc>
        <w:tc>
          <w:tcPr>
            <w:tcW w:w="4163" w:type="dxa"/>
          </w:tcPr>
          <w:p w14:paraId="643477FE"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aftësimin profesional?</w:t>
            </w:r>
          </w:p>
        </w:tc>
        <w:tc>
          <w:tcPr>
            <w:tcW w:w="810" w:type="dxa"/>
          </w:tcPr>
          <w:p w14:paraId="4BEC2C3B" w14:textId="77777777" w:rsidR="007E1B0B" w:rsidRPr="000D3717" w:rsidRDefault="007E1B0B" w:rsidP="008D7069">
            <w:pPr>
              <w:rPr>
                <w:rFonts w:ascii="Times New Roman" w:hAnsi="Times New Roman" w:cs="Times New Roman"/>
                <w:sz w:val="24"/>
                <w:szCs w:val="24"/>
              </w:rPr>
            </w:pPr>
          </w:p>
        </w:tc>
        <w:tc>
          <w:tcPr>
            <w:tcW w:w="787" w:type="dxa"/>
          </w:tcPr>
          <w:p w14:paraId="3E69AEEC" w14:textId="03127CE1"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77686541" w14:textId="77777777" w:rsidR="007E1B0B" w:rsidRPr="000D3717" w:rsidRDefault="007E1B0B" w:rsidP="008D7069">
            <w:pPr>
              <w:rPr>
                <w:rFonts w:ascii="Times New Roman" w:hAnsi="Times New Roman" w:cs="Times New Roman"/>
                <w:sz w:val="24"/>
                <w:szCs w:val="24"/>
              </w:rPr>
            </w:pPr>
          </w:p>
        </w:tc>
        <w:tc>
          <w:tcPr>
            <w:tcW w:w="1620" w:type="dxa"/>
          </w:tcPr>
          <w:p w14:paraId="7B01606D" w14:textId="77777777" w:rsidR="007E1B0B" w:rsidRPr="000D3717" w:rsidRDefault="007E1B0B" w:rsidP="008D7069">
            <w:pPr>
              <w:rPr>
                <w:rFonts w:ascii="Times New Roman" w:hAnsi="Times New Roman" w:cs="Times New Roman"/>
                <w:sz w:val="24"/>
                <w:szCs w:val="24"/>
              </w:rPr>
            </w:pPr>
          </w:p>
        </w:tc>
        <w:tc>
          <w:tcPr>
            <w:tcW w:w="2610" w:type="dxa"/>
          </w:tcPr>
          <w:p w14:paraId="7EDD3280" w14:textId="77777777" w:rsidR="007E1B0B" w:rsidRPr="000D3717" w:rsidRDefault="007E1B0B" w:rsidP="008D7069">
            <w:pPr>
              <w:rPr>
                <w:rFonts w:ascii="Times New Roman" w:hAnsi="Times New Roman" w:cs="Times New Roman"/>
                <w:sz w:val="24"/>
                <w:szCs w:val="24"/>
              </w:rPr>
            </w:pPr>
          </w:p>
        </w:tc>
      </w:tr>
      <w:tr w:rsidR="007E1B0B" w:rsidRPr="000D3717" w14:paraId="7441F089" w14:textId="77777777" w:rsidTr="00595960">
        <w:tc>
          <w:tcPr>
            <w:tcW w:w="1710" w:type="dxa"/>
            <w:vMerge/>
          </w:tcPr>
          <w:p w14:paraId="7317D096" w14:textId="77777777" w:rsidR="007E1B0B" w:rsidRPr="000D3717" w:rsidRDefault="007E1B0B" w:rsidP="008D7069">
            <w:pPr>
              <w:rPr>
                <w:rFonts w:ascii="Times New Roman" w:hAnsi="Times New Roman" w:cs="Times New Roman"/>
                <w:sz w:val="24"/>
                <w:szCs w:val="24"/>
              </w:rPr>
            </w:pPr>
          </w:p>
        </w:tc>
        <w:tc>
          <w:tcPr>
            <w:tcW w:w="4163" w:type="dxa"/>
          </w:tcPr>
          <w:p w14:paraId="73A9F171"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arsimimin e punëtorëve dhe të mësuarit gjatë gjithë jetës?</w:t>
            </w:r>
          </w:p>
        </w:tc>
        <w:tc>
          <w:tcPr>
            <w:tcW w:w="810" w:type="dxa"/>
          </w:tcPr>
          <w:p w14:paraId="59A06C11" w14:textId="77777777" w:rsidR="007E1B0B" w:rsidRPr="000D3717" w:rsidRDefault="007E1B0B" w:rsidP="008D7069">
            <w:pPr>
              <w:rPr>
                <w:rFonts w:ascii="Times New Roman" w:hAnsi="Times New Roman" w:cs="Times New Roman"/>
                <w:sz w:val="24"/>
                <w:szCs w:val="24"/>
              </w:rPr>
            </w:pPr>
          </w:p>
        </w:tc>
        <w:tc>
          <w:tcPr>
            <w:tcW w:w="787" w:type="dxa"/>
          </w:tcPr>
          <w:p w14:paraId="7A5EB74B" w14:textId="73DA5405"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1EAAA066" w14:textId="77777777" w:rsidR="007E1B0B" w:rsidRPr="000D3717" w:rsidRDefault="007E1B0B" w:rsidP="008D7069">
            <w:pPr>
              <w:rPr>
                <w:rFonts w:ascii="Times New Roman" w:hAnsi="Times New Roman" w:cs="Times New Roman"/>
                <w:sz w:val="24"/>
                <w:szCs w:val="24"/>
              </w:rPr>
            </w:pPr>
          </w:p>
        </w:tc>
        <w:tc>
          <w:tcPr>
            <w:tcW w:w="1620" w:type="dxa"/>
          </w:tcPr>
          <w:p w14:paraId="12D82F1E" w14:textId="77777777" w:rsidR="007E1B0B" w:rsidRPr="000D3717" w:rsidRDefault="007E1B0B" w:rsidP="008D7069">
            <w:pPr>
              <w:rPr>
                <w:rFonts w:ascii="Times New Roman" w:hAnsi="Times New Roman" w:cs="Times New Roman"/>
                <w:sz w:val="24"/>
                <w:szCs w:val="24"/>
              </w:rPr>
            </w:pPr>
          </w:p>
        </w:tc>
        <w:tc>
          <w:tcPr>
            <w:tcW w:w="2610" w:type="dxa"/>
          </w:tcPr>
          <w:p w14:paraId="0A943F02" w14:textId="77777777" w:rsidR="007E1B0B" w:rsidRPr="000D3717" w:rsidRDefault="007E1B0B" w:rsidP="008D7069">
            <w:pPr>
              <w:rPr>
                <w:rFonts w:ascii="Times New Roman" w:hAnsi="Times New Roman" w:cs="Times New Roman"/>
                <w:sz w:val="24"/>
                <w:szCs w:val="24"/>
              </w:rPr>
            </w:pPr>
          </w:p>
        </w:tc>
      </w:tr>
      <w:tr w:rsidR="007E1B0B" w:rsidRPr="000D3717" w14:paraId="6A1BFEE0" w14:textId="77777777" w:rsidTr="00595960">
        <w:tc>
          <w:tcPr>
            <w:tcW w:w="1710" w:type="dxa"/>
            <w:vMerge/>
          </w:tcPr>
          <w:p w14:paraId="20B5BC8B" w14:textId="77777777" w:rsidR="007E1B0B" w:rsidRPr="000D3717" w:rsidRDefault="007E1B0B" w:rsidP="008D7069">
            <w:pPr>
              <w:rPr>
                <w:rFonts w:ascii="Times New Roman" w:hAnsi="Times New Roman" w:cs="Times New Roman"/>
                <w:sz w:val="24"/>
                <w:szCs w:val="24"/>
              </w:rPr>
            </w:pPr>
          </w:p>
        </w:tc>
        <w:tc>
          <w:tcPr>
            <w:tcW w:w="4163" w:type="dxa"/>
          </w:tcPr>
          <w:p w14:paraId="770EF53D"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organizimin apo strukturën e sistemit arsimor?</w:t>
            </w:r>
          </w:p>
        </w:tc>
        <w:tc>
          <w:tcPr>
            <w:tcW w:w="810" w:type="dxa"/>
          </w:tcPr>
          <w:p w14:paraId="13E30FB6" w14:textId="77777777" w:rsidR="007E1B0B" w:rsidRPr="000D3717" w:rsidRDefault="007E1B0B" w:rsidP="008D7069">
            <w:pPr>
              <w:rPr>
                <w:rFonts w:ascii="Times New Roman" w:hAnsi="Times New Roman" w:cs="Times New Roman"/>
                <w:sz w:val="24"/>
                <w:szCs w:val="24"/>
              </w:rPr>
            </w:pPr>
          </w:p>
        </w:tc>
        <w:tc>
          <w:tcPr>
            <w:tcW w:w="787" w:type="dxa"/>
          </w:tcPr>
          <w:p w14:paraId="08DE77FC" w14:textId="4AC5D388"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59ADC13B" w14:textId="77777777" w:rsidR="007E1B0B" w:rsidRPr="000D3717" w:rsidRDefault="007E1B0B" w:rsidP="008D7069">
            <w:pPr>
              <w:rPr>
                <w:rFonts w:ascii="Times New Roman" w:hAnsi="Times New Roman" w:cs="Times New Roman"/>
                <w:sz w:val="24"/>
                <w:szCs w:val="24"/>
              </w:rPr>
            </w:pPr>
          </w:p>
        </w:tc>
        <w:tc>
          <w:tcPr>
            <w:tcW w:w="1620" w:type="dxa"/>
          </w:tcPr>
          <w:p w14:paraId="79DAE798" w14:textId="77777777" w:rsidR="007E1B0B" w:rsidRPr="000D3717" w:rsidRDefault="007E1B0B" w:rsidP="008D7069">
            <w:pPr>
              <w:rPr>
                <w:rFonts w:ascii="Times New Roman" w:hAnsi="Times New Roman" w:cs="Times New Roman"/>
                <w:sz w:val="24"/>
                <w:szCs w:val="24"/>
              </w:rPr>
            </w:pPr>
          </w:p>
        </w:tc>
        <w:tc>
          <w:tcPr>
            <w:tcW w:w="2610" w:type="dxa"/>
          </w:tcPr>
          <w:p w14:paraId="5DF3B963" w14:textId="77777777" w:rsidR="007E1B0B" w:rsidRPr="000D3717" w:rsidRDefault="007E1B0B" w:rsidP="008D7069">
            <w:pPr>
              <w:rPr>
                <w:rFonts w:ascii="Times New Roman" w:hAnsi="Times New Roman" w:cs="Times New Roman"/>
                <w:sz w:val="24"/>
                <w:szCs w:val="24"/>
              </w:rPr>
            </w:pPr>
          </w:p>
        </w:tc>
      </w:tr>
      <w:tr w:rsidR="007E1B0B" w:rsidRPr="000D3717" w14:paraId="51D62BD3" w14:textId="77777777" w:rsidTr="00595960">
        <w:tc>
          <w:tcPr>
            <w:tcW w:w="1710" w:type="dxa"/>
            <w:vMerge/>
          </w:tcPr>
          <w:p w14:paraId="4F0DD780" w14:textId="77777777" w:rsidR="007E1B0B" w:rsidRPr="000D3717" w:rsidRDefault="007E1B0B" w:rsidP="008D7069">
            <w:pPr>
              <w:rPr>
                <w:rFonts w:ascii="Times New Roman" w:hAnsi="Times New Roman" w:cs="Times New Roman"/>
                <w:sz w:val="24"/>
                <w:szCs w:val="24"/>
              </w:rPr>
            </w:pPr>
          </w:p>
        </w:tc>
        <w:tc>
          <w:tcPr>
            <w:tcW w:w="4163" w:type="dxa"/>
          </w:tcPr>
          <w:p w14:paraId="61113A91"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do të ketë ndikim në lirinë akademike dhe vetëqeverisjen?</w:t>
            </w:r>
          </w:p>
        </w:tc>
        <w:tc>
          <w:tcPr>
            <w:tcW w:w="810" w:type="dxa"/>
          </w:tcPr>
          <w:p w14:paraId="6D00AA2F" w14:textId="77777777" w:rsidR="007E1B0B" w:rsidRPr="000D3717" w:rsidRDefault="007E1B0B" w:rsidP="008D7069">
            <w:pPr>
              <w:rPr>
                <w:rFonts w:ascii="Times New Roman" w:hAnsi="Times New Roman" w:cs="Times New Roman"/>
                <w:sz w:val="24"/>
                <w:szCs w:val="24"/>
              </w:rPr>
            </w:pPr>
          </w:p>
        </w:tc>
        <w:tc>
          <w:tcPr>
            <w:tcW w:w="787" w:type="dxa"/>
          </w:tcPr>
          <w:p w14:paraId="4D8DC14A" w14:textId="12B40BB1"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523D033B" w14:textId="77777777" w:rsidR="007E1B0B" w:rsidRPr="000D3717" w:rsidRDefault="007E1B0B" w:rsidP="008D7069">
            <w:pPr>
              <w:rPr>
                <w:rFonts w:ascii="Times New Roman" w:hAnsi="Times New Roman" w:cs="Times New Roman"/>
                <w:sz w:val="24"/>
                <w:szCs w:val="24"/>
              </w:rPr>
            </w:pPr>
          </w:p>
        </w:tc>
        <w:tc>
          <w:tcPr>
            <w:tcW w:w="1620" w:type="dxa"/>
          </w:tcPr>
          <w:p w14:paraId="09B1D5FD" w14:textId="77777777" w:rsidR="007E1B0B" w:rsidRPr="000D3717" w:rsidRDefault="007E1B0B" w:rsidP="008D7069">
            <w:pPr>
              <w:rPr>
                <w:rFonts w:ascii="Times New Roman" w:hAnsi="Times New Roman" w:cs="Times New Roman"/>
                <w:sz w:val="24"/>
                <w:szCs w:val="24"/>
              </w:rPr>
            </w:pPr>
          </w:p>
        </w:tc>
        <w:tc>
          <w:tcPr>
            <w:tcW w:w="2610" w:type="dxa"/>
          </w:tcPr>
          <w:p w14:paraId="066AFF70" w14:textId="77777777" w:rsidR="007E1B0B" w:rsidRPr="000D3717" w:rsidRDefault="007E1B0B" w:rsidP="008D7069">
            <w:pPr>
              <w:rPr>
                <w:rFonts w:ascii="Times New Roman" w:hAnsi="Times New Roman" w:cs="Times New Roman"/>
                <w:sz w:val="24"/>
                <w:szCs w:val="24"/>
              </w:rPr>
            </w:pPr>
          </w:p>
        </w:tc>
      </w:tr>
      <w:tr w:rsidR="007E1B0B" w:rsidRPr="000D3717" w14:paraId="10ED81AD" w14:textId="77777777" w:rsidTr="00595960">
        <w:tc>
          <w:tcPr>
            <w:tcW w:w="1710" w:type="dxa"/>
            <w:vMerge w:val="restart"/>
          </w:tcPr>
          <w:p w14:paraId="205C2A1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Kultura</w:t>
            </w:r>
          </w:p>
        </w:tc>
        <w:tc>
          <w:tcPr>
            <w:tcW w:w="4163" w:type="dxa"/>
          </w:tcPr>
          <w:p w14:paraId="0AC6EE6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w:t>
            </w:r>
            <w:proofErr w:type="spellStart"/>
            <w:r w:rsidRPr="000D3717">
              <w:rPr>
                <w:rFonts w:ascii="Times New Roman" w:hAnsi="Times New Roman" w:cs="Times New Roman"/>
                <w:sz w:val="24"/>
                <w:szCs w:val="24"/>
              </w:rPr>
              <w:t>diversitetin</w:t>
            </w:r>
            <w:proofErr w:type="spellEnd"/>
            <w:r w:rsidRPr="000D3717">
              <w:rPr>
                <w:rFonts w:ascii="Times New Roman" w:hAnsi="Times New Roman" w:cs="Times New Roman"/>
                <w:sz w:val="24"/>
                <w:szCs w:val="24"/>
              </w:rPr>
              <w:t xml:space="preserve"> kulturor?</w:t>
            </w:r>
          </w:p>
        </w:tc>
        <w:tc>
          <w:tcPr>
            <w:tcW w:w="810" w:type="dxa"/>
          </w:tcPr>
          <w:p w14:paraId="0CB399B1" w14:textId="77777777" w:rsidR="007E1B0B" w:rsidRPr="000D3717" w:rsidRDefault="007E1B0B" w:rsidP="008D7069">
            <w:pPr>
              <w:rPr>
                <w:rFonts w:ascii="Times New Roman" w:hAnsi="Times New Roman" w:cs="Times New Roman"/>
                <w:sz w:val="24"/>
                <w:szCs w:val="24"/>
              </w:rPr>
            </w:pPr>
          </w:p>
        </w:tc>
        <w:tc>
          <w:tcPr>
            <w:tcW w:w="787" w:type="dxa"/>
          </w:tcPr>
          <w:p w14:paraId="611BD358" w14:textId="1E8F371C" w:rsidR="007E1B0B" w:rsidRPr="000D3717" w:rsidRDefault="007E1B0B" w:rsidP="008D7069">
            <w:pPr>
              <w:rPr>
                <w:rFonts w:ascii="Times New Roman" w:hAnsi="Times New Roman" w:cs="Times New Roman"/>
                <w:sz w:val="24"/>
                <w:szCs w:val="24"/>
              </w:rPr>
            </w:pPr>
            <w:r w:rsidRPr="00B43EEC">
              <w:rPr>
                <w:rFonts w:ascii="Times New Roman" w:hAnsi="Times New Roman" w:cs="Times New Roman"/>
                <w:sz w:val="24"/>
                <w:szCs w:val="24"/>
              </w:rPr>
              <w:t>x</w:t>
            </w:r>
          </w:p>
        </w:tc>
        <w:tc>
          <w:tcPr>
            <w:tcW w:w="2340" w:type="dxa"/>
          </w:tcPr>
          <w:p w14:paraId="0387D214" w14:textId="77777777" w:rsidR="007E1B0B" w:rsidRPr="000D3717" w:rsidRDefault="007E1B0B" w:rsidP="008D7069">
            <w:pPr>
              <w:rPr>
                <w:rFonts w:ascii="Times New Roman" w:hAnsi="Times New Roman" w:cs="Times New Roman"/>
                <w:sz w:val="24"/>
                <w:szCs w:val="24"/>
              </w:rPr>
            </w:pPr>
          </w:p>
        </w:tc>
        <w:tc>
          <w:tcPr>
            <w:tcW w:w="1620" w:type="dxa"/>
          </w:tcPr>
          <w:p w14:paraId="0C930D74" w14:textId="77777777" w:rsidR="007E1B0B" w:rsidRPr="000D3717" w:rsidRDefault="007E1B0B" w:rsidP="008D7069">
            <w:pPr>
              <w:rPr>
                <w:rFonts w:ascii="Times New Roman" w:hAnsi="Times New Roman" w:cs="Times New Roman"/>
                <w:sz w:val="24"/>
                <w:szCs w:val="24"/>
              </w:rPr>
            </w:pPr>
          </w:p>
        </w:tc>
        <w:tc>
          <w:tcPr>
            <w:tcW w:w="2610" w:type="dxa"/>
          </w:tcPr>
          <w:p w14:paraId="0077D9DC" w14:textId="77777777" w:rsidR="007E1B0B" w:rsidRPr="000D3717" w:rsidRDefault="007E1B0B" w:rsidP="008D7069">
            <w:pPr>
              <w:rPr>
                <w:rFonts w:ascii="Times New Roman" w:hAnsi="Times New Roman" w:cs="Times New Roman"/>
                <w:sz w:val="24"/>
                <w:szCs w:val="24"/>
              </w:rPr>
            </w:pPr>
          </w:p>
        </w:tc>
      </w:tr>
      <w:tr w:rsidR="007E1B0B" w:rsidRPr="000D3717" w14:paraId="1C10202F" w14:textId="77777777" w:rsidTr="00595960">
        <w:tc>
          <w:tcPr>
            <w:tcW w:w="1710" w:type="dxa"/>
            <w:vMerge/>
          </w:tcPr>
          <w:p w14:paraId="02947889" w14:textId="77777777" w:rsidR="007E1B0B" w:rsidRPr="000D3717" w:rsidRDefault="007E1B0B" w:rsidP="008D7069">
            <w:pPr>
              <w:rPr>
                <w:rFonts w:ascii="Times New Roman" w:hAnsi="Times New Roman" w:cs="Times New Roman"/>
                <w:sz w:val="24"/>
                <w:szCs w:val="24"/>
              </w:rPr>
            </w:pPr>
          </w:p>
        </w:tc>
        <w:tc>
          <w:tcPr>
            <w:tcW w:w="4163" w:type="dxa"/>
          </w:tcPr>
          <w:p w14:paraId="14E0BE9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financimin e organizatave kulturore? </w:t>
            </w:r>
          </w:p>
        </w:tc>
        <w:tc>
          <w:tcPr>
            <w:tcW w:w="810" w:type="dxa"/>
          </w:tcPr>
          <w:p w14:paraId="0CFCFD32" w14:textId="77777777" w:rsidR="007E1B0B" w:rsidRPr="000D3717" w:rsidRDefault="007E1B0B" w:rsidP="008D7069">
            <w:pPr>
              <w:rPr>
                <w:rFonts w:ascii="Times New Roman" w:hAnsi="Times New Roman" w:cs="Times New Roman"/>
                <w:sz w:val="24"/>
                <w:szCs w:val="24"/>
              </w:rPr>
            </w:pPr>
          </w:p>
        </w:tc>
        <w:tc>
          <w:tcPr>
            <w:tcW w:w="787" w:type="dxa"/>
          </w:tcPr>
          <w:p w14:paraId="608A0E76" w14:textId="0B8DD02F"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2B59BC44" w14:textId="77777777" w:rsidR="007E1B0B" w:rsidRPr="000D3717" w:rsidRDefault="007E1B0B" w:rsidP="008D7069">
            <w:pPr>
              <w:rPr>
                <w:rFonts w:ascii="Times New Roman" w:hAnsi="Times New Roman" w:cs="Times New Roman"/>
                <w:sz w:val="24"/>
                <w:szCs w:val="24"/>
              </w:rPr>
            </w:pPr>
          </w:p>
        </w:tc>
        <w:tc>
          <w:tcPr>
            <w:tcW w:w="1620" w:type="dxa"/>
          </w:tcPr>
          <w:p w14:paraId="2C98545F" w14:textId="77777777" w:rsidR="007E1B0B" w:rsidRPr="000D3717" w:rsidRDefault="007E1B0B" w:rsidP="008D7069">
            <w:pPr>
              <w:rPr>
                <w:rFonts w:ascii="Times New Roman" w:hAnsi="Times New Roman" w:cs="Times New Roman"/>
                <w:sz w:val="24"/>
                <w:szCs w:val="24"/>
              </w:rPr>
            </w:pPr>
          </w:p>
        </w:tc>
        <w:tc>
          <w:tcPr>
            <w:tcW w:w="2610" w:type="dxa"/>
          </w:tcPr>
          <w:p w14:paraId="6AE987EB" w14:textId="77777777" w:rsidR="007E1B0B" w:rsidRPr="000D3717" w:rsidRDefault="007E1B0B" w:rsidP="008D7069">
            <w:pPr>
              <w:rPr>
                <w:rFonts w:ascii="Times New Roman" w:hAnsi="Times New Roman" w:cs="Times New Roman"/>
                <w:sz w:val="24"/>
                <w:szCs w:val="24"/>
              </w:rPr>
            </w:pPr>
          </w:p>
        </w:tc>
      </w:tr>
      <w:tr w:rsidR="007E1B0B" w:rsidRPr="000D3717" w14:paraId="0FFBA5AC" w14:textId="77777777" w:rsidTr="00595960">
        <w:tc>
          <w:tcPr>
            <w:tcW w:w="1710" w:type="dxa"/>
            <w:vMerge/>
          </w:tcPr>
          <w:p w14:paraId="31AF6E70" w14:textId="77777777" w:rsidR="007E1B0B" w:rsidRPr="000D3717" w:rsidRDefault="007E1B0B" w:rsidP="008D7069">
            <w:pPr>
              <w:rPr>
                <w:rFonts w:ascii="Times New Roman" w:hAnsi="Times New Roman" w:cs="Times New Roman"/>
                <w:sz w:val="24"/>
                <w:szCs w:val="24"/>
              </w:rPr>
            </w:pPr>
          </w:p>
        </w:tc>
        <w:tc>
          <w:tcPr>
            <w:tcW w:w="4163" w:type="dxa"/>
          </w:tcPr>
          <w:p w14:paraId="322C7D7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mundësitë për personat që të përfitojnë nga aktivitetet kulturore ose të marrin pjesë në to? </w:t>
            </w:r>
          </w:p>
        </w:tc>
        <w:tc>
          <w:tcPr>
            <w:tcW w:w="810" w:type="dxa"/>
          </w:tcPr>
          <w:p w14:paraId="6FD69366" w14:textId="77777777" w:rsidR="007E1B0B" w:rsidRPr="000D3717" w:rsidRDefault="007E1B0B" w:rsidP="008D7069">
            <w:pPr>
              <w:rPr>
                <w:rFonts w:ascii="Times New Roman" w:hAnsi="Times New Roman" w:cs="Times New Roman"/>
                <w:sz w:val="24"/>
                <w:szCs w:val="24"/>
              </w:rPr>
            </w:pPr>
          </w:p>
        </w:tc>
        <w:tc>
          <w:tcPr>
            <w:tcW w:w="787" w:type="dxa"/>
          </w:tcPr>
          <w:p w14:paraId="15E1A758" w14:textId="54DD43B8"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0CDD950B" w14:textId="77777777" w:rsidR="007E1B0B" w:rsidRPr="000D3717" w:rsidRDefault="007E1B0B" w:rsidP="008D7069">
            <w:pPr>
              <w:rPr>
                <w:rFonts w:ascii="Times New Roman" w:hAnsi="Times New Roman" w:cs="Times New Roman"/>
                <w:sz w:val="24"/>
                <w:szCs w:val="24"/>
              </w:rPr>
            </w:pPr>
          </w:p>
        </w:tc>
        <w:tc>
          <w:tcPr>
            <w:tcW w:w="1620" w:type="dxa"/>
          </w:tcPr>
          <w:p w14:paraId="2BAB71B5" w14:textId="77777777" w:rsidR="007E1B0B" w:rsidRPr="000D3717" w:rsidRDefault="007E1B0B" w:rsidP="008D7069">
            <w:pPr>
              <w:rPr>
                <w:rFonts w:ascii="Times New Roman" w:hAnsi="Times New Roman" w:cs="Times New Roman"/>
                <w:sz w:val="24"/>
                <w:szCs w:val="24"/>
              </w:rPr>
            </w:pPr>
          </w:p>
        </w:tc>
        <w:tc>
          <w:tcPr>
            <w:tcW w:w="2610" w:type="dxa"/>
          </w:tcPr>
          <w:p w14:paraId="6B35F4C2" w14:textId="77777777" w:rsidR="007E1B0B" w:rsidRPr="000D3717" w:rsidRDefault="007E1B0B" w:rsidP="008D7069">
            <w:pPr>
              <w:rPr>
                <w:rFonts w:ascii="Times New Roman" w:hAnsi="Times New Roman" w:cs="Times New Roman"/>
                <w:sz w:val="24"/>
                <w:szCs w:val="24"/>
              </w:rPr>
            </w:pPr>
          </w:p>
        </w:tc>
      </w:tr>
      <w:tr w:rsidR="007E1B0B" w:rsidRPr="000D3717" w14:paraId="5799B3BF" w14:textId="77777777" w:rsidTr="00595960">
        <w:tc>
          <w:tcPr>
            <w:tcW w:w="1710" w:type="dxa"/>
            <w:vMerge/>
          </w:tcPr>
          <w:p w14:paraId="440F803D" w14:textId="77777777" w:rsidR="007E1B0B" w:rsidRPr="000D3717" w:rsidRDefault="007E1B0B" w:rsidP="008D7069">
            <w:pPr>
              <w:rPr>
                <w:rFonts w:ascii="Times New Roman" w:hAnsi="Times New Roman" w:cs="Times New Roman"/>
                <w:sz w:val="24"/>
                <w:szCs w:val="24"/>
              </w:rPr>
            </w:pPr>
          </w:p>
        </w:tc>
        <w:tc>
          <w:tcPr>
            <w:tcW w:w="4163" w:type="dxa"/>
          </w:tcPr>
          <w:p w14:paraId="21B78C5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ruajtjen e trashëgimisë kulturore? </w:t>
            </w:r>
          </w:p>
        </w:tc>
        <w:tc>
          <w:tcPr>
            <w:tcW w:w="810" w:type="dxa"/>
          </w:tcPr>
          <w:p w14:paraId="198E9EF9" w14:textId="77777777" w:rsidR="007E1B0B" w:rsidRPr="000D3717" w:rsidRDefault="007E1B0B" w:rsidP="008D7069">
            <w:pPr>
              <w:rPr>
                <w:rFonts w:ascii="Times New Roman" w:hAnsi="Times New Roman" w:cs="Times New Roman"/>
                <w:sz w:val="24"/>
                <w:szCs w:val="24"/>
              </w:rPr>
            </w:pPr>
          </w:p>
        </w:tc>
        <w:tc>
          <w:tcPr>
            <w:tcW w:w="787" w:type="dxa"/>
          </w:tcPr>
          <w:p w14:paraId="0F757BFE" w14:textId="76087476"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29228855" w14:textId="77777777" w:rsidR="007E1B0B" w:rsidRPr="000D3717" w:rsidRDefault="007E1B0B" w:rsidP="008D7069">
            <w:pPr>
              <w:rPr>
                <w:rFonts w:ascii="Times New Roman" w:hAnsi="Times New Roman" w:cs="Times New Roman"/>
                <w:sz w:val="24"/>
                <w:szCs w:val="24"/>
              </w:rPr>
            </w:pPr>
          </w:p>
        </w:tc>
        <w:tc>
          <w:tcPr>
            <w:tcW w:w="1620" w:type="dxa"/>
          </w:tcPr>
          <w:p w14:paraId="2CD4DC2D" w14:textId="77777777" w:rsidR="007E1B0B" w:rsidRPr="000D3717" w:rsidRDefault="007E1B0B" w:rsidP="008D7069">
            <w:pPr>
              <w:rPr>
                <w:rFonts w:ascii="Times New Roman" w:hAnsi="Times New Roman" w:cs="Times New Roman"/>
                <w:sz w:val="24"/>
                <w:szCs w:val="24"/>
              </w:rPr>
            </w:pPr>
          </w:p>
        </w:tc>
        <w:tc>
          <w:tcPr>
            <w:tcW w:w="2610" w:type="dxa"/>
          </w:tcPr>
          <w:p w14:paraId="7D0F8622" w14:textId="77777777" w:rsidR="007E1B0B" w:rsidRPr="000D3717" w:rsidRDefault="007E1B0B" w:rsidP="008D7069">
            <w:pPr>
              <w:rPr>
                <w:rFonts w:ascii="Times New Roman" w:hAnsi="Times New Roman" w:cs="Times New Roman"/>
                <w:sz w:val="24"/>
                <w:szCs w:val="24"/>
              </w:rPr>
            </w:pPr>
          </w:p>
        </w:tc>
      </w:tr>
      <w:tr w:rsidR="007E1B0B" w:rsidRPr="000D3717" w14:paraId="2234DBB7" w14:textId="77777777" w:rsidTr="00595960">
        <w:tc>
          <w:tcPr>
            <w:tcW w:w="1710" w:type="dxa"/>
            <w:vMerge w:val="restart"/>
          </w:tcPr>
          <w:p w14:paraId="3E9187B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Qeverisja</w:t>
            </w:r>
          </w:p>
        </w:tc>
        <w:tc>
          <w:tcPr>
            <w:tcW w:w="4163" w:type="dxa"/>
          </w:tcPr>
          <w:p w14:paraId="701075C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aftësitë e qytetarëve të marrin pjesë në procesin demokratik?</w:t>
            </w:r>
          </w:p>
        </w:tc>
        <w:tc>
          <w:tcPr>
            <w:tcW w:w="810" w:type="dxa"/>
          </w:tcPr>
          <w:p w14:paraId="4284697B" w14:textId="77777777" w:rsidR="007E1B0B" w:rsidRPr="000D3717" w:rsidRDefault="007E1B0B" w:rsidP="008D7069">
            <w:pPr>
              <w:rPr>
                <w:rFonts w:ascii="Times New Roman" w:hAnsi="Times New Roman" w:cs="Times New Roman"/>
                <w:sz w:val="24"/>
                <w:szCs w:val="24"/>
              </w:rPr>
            </w:pPr>
          </w:p>
        </w:tc>
        <w:tc>
          <w:tcPr>
            <w:tcW w:w="787" w:type="dxa"/>
          </w:tcPr>
          <w:p w14:paraId="6CCF6115" w14:textId="793CADDF"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6ACC54D1" w14:textId="77777777" w:rsidR="007E1B0B" w:rsidRPr="000D3717" w:rsidRDefault="007E1B0B" w:rsidP="008D7069">
            <w:pPr>
              <w:rPr>
                <w:rFonts w:ascii="Times New Roman" w:hAnsi="Times New Roman" w:cs="Times New Roman"/>
                <w:sz w:val="24"/>
                <w:szCs w:val="24"/>
              </w:rPr>
            </w:pPr>
          </w:p>
        </w:tc>
        <w:tc>
          <w:tcPr>
            <w:tcW w:w="1620" w:type="dxa"/>
          </w:tcPr>
          <w:p w14:paraId="3BDECF3C" w14:textId="77777777" w:rsidR="007E1B0B" w:rsidRPr="000D3717" w:rsidRDefault="007E1B0B" w:rsidP="008D7069">
            <w:pPr>
              <w:rPr>
                <w:rFonts w:ascii="Times New Roman" w:hAnsi="Times New Roman" w:cs="Times New Roman"/>
                <w:sz w:val="24"/>
                <w:szCs w:val="24"/>
              </w:rPr>
            </w:pPr>
          </w:p>
        </w:tc>
        <w:tc>
          <w:tcPr>
            <w:tcW w:w="2610" w:type="dxa"/>
          </w:tcPr>
          <w:p w14:paraId="6DC10DA1" w14:textId="77777777" w:rsidR="007E1B0B" w:rsidRPr="000D3717" w:rsidRDefault="007E1B0B" w:rsidP="008D7069">
            <w:pPr>
              <w:rPr>
                <w:rFonts w:ascii="Times New Roman" w:hAnsi="Times New Roman" w:cs="Times New Roman"/>
                <w:sz w:val="24"/>
                <w:szCs w:val="24"/>
              </w:rPr>
            </w:pPr>
          </w:p>
        </w:tc>
      </w:tr>
      <w:tr w:rsidR="007E1B0B" w:rsidRPr="000D3717" w14:paraId="4E6F5ADE" w14:textId="77777777" w:rsidTr="00595960">
        <w:tc>
          <w:tcPr>
            <w:tcW w:w="1710" w:type="dxa"/>
            <w:vMerge/>
          </w:tcPr>
          <w:p w14:paraId="60DDC9A1" w14:textId="77777777" w:rsidR="007E1B0B" w:rsidRPr="000D3717" w:rsidRDefault="007E1B0B" w:rsidP="008D7069">
            <w:pPr>
              <w:rPr>
                <w:rFonts w:ascii="Times New Roman" w:hAnsi="Times New Roman" w:cs="Times New Roman"/>
                <w:sz w:val="24"/>
                <w:szCs w:val="24"/>
              </w:rPr>
            </w:pPr>
          </w:p>
        </w:tc>
        <w:tc>
          <w:tcPr>
            <w:tcW w:w="4163" w:type="dxa"/>
          </w:tcPr>
          <w:p w14:paraId="378D10A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trajtohet çdo person në mënyrë të barabartë?</w:t>
            </w:r>
          </w:p>
        </w:tc>
        <w:tc>
          <w:tcPr>
            <w:tcW w:w="810" w:type="dxa"/>
          </w:tcPr>
          <w:p w14:paraId="39C40D50" w14:textId="77777777" w:rsidR="007E1B0B" w:rsidRPr="000D3717" w:rsidRDefault="007E1B0B" w:rsidP="008D7069">
            <w:pPr>
              <w:rPr>
                <w:rFonts w:ascii="Times New Roman" w:hAnsi="Times New Roman" w:cs="Times New Roman"/>
                <w:sz w:val="24"/>
                <w:szCs w:val="24"/>
              </w:rPr>
            </w:pPr>
          </w:p>
        </w:tc>
        <w:tc>
          <w:tcPr>
            <w:tcW w:w="787" w:type="dxa"/>
          </w:tcPr>
          <w:p w14:paraId="313F9692" w14:textId="6A4590EF"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6F803714" w14:textId="77777777" w:rsidR="007E1B0B" w:rsidRPr="000D3717" w:rsidRDefault="007E1B0B" w:rsidP="008D7069">
            <w:pPr>
              <w:rPr>
                <w:rFonts w:ascii="Times New Roman" w:hAnsi="Times New Roman" w:cs="Times New Roman"/>
                <w:sz w:val="24"/>
                <w:szCs w:val="24"/>
              </w:rPr>
            </w:pPr>
          </w:p>
        </w:tc>
        <w:tc>
          <w:tcPr>
            <w:tcW w:w="1620" w:type="dxa"/>
          </w:tcPr>
          <w:p w14:paraId="24CDE484" w14:textId="77777777" w:rsidR="007E1B0B" w:rsidRPr="000D3717" w:rsidRDefault="007E1B0B" w:rsidP="008D7069">
            <w:pPr>
              <w:rPr>
                <w:rFonts w:ascii="Times New Roman" w:hAnsi="Times New Roman" w:cs="Times New Roman"/>
                <w:sz w:val="24"/>
                <w:szCs w:val="24"/>
              </w:rPr>
            </w:pPr>
          </w:p>
        </w:tc>
        <w:tc>
          <w:tcPr>
            <w:tcW w:w="2610" w:type="dxa"/>
          </w:tcPr>
          <w:p w14:paraId="09C46550" w14:textId="77777777" w:rsidR="007E1B0B" w:rsidRPr="000D3717" w:rsidRDefault="007E1B0B" w:rsidP="008D7069">
            <w:pPr>
              <w:rPr>
                <w:rFonts w:ascii="Times New Roman" w:hAnsi="Times New Roman" w:cs="Times New Roman"/>
                <w:sz w:val="24"/>
                <w:szCs w:val="24"/>
              </w:rPr>
            </w:pPr>
          </w:p>
        </w:tc>
      </w:tr>
      <w:tr w:rsidR="007E1B0B" w:rsidRPr="000D3717" w14:paraId="6311A834" w14:textId="77777777" w:rsidTr="00595960">
        <w:tc>
          <w:tcPr>
            <w:tcW w:w="1710" w:type="dxa"/>
            <w:vMerge/>
          </w:tcPr>
          <w:p w14:paraId="20FDE851" w14:textId="77777777" w:rsidR="007E1B0B" w:rsidRPr="000D3717" w:rsidRDefault="007E1B0B" w:rsidP="008D7069">
            <w:pPr>
              <w:rPr>
                <w:rFonts w:ascii="Times New Roman" w:hAnsi="Times New Roman" w:cs="Times New Roman"/>
                <w:sz w:val="24"/>
                <w:szCs w:val="24"/>
              </w:rPr>
            </w:pPr>
          </w:p>
        </w:tc>
        <w:tc>
          <w:tcPr>
            <w:tcW w:w="4163" w:type="dxa"/>
          </w:tcPr>
          <w:p w14:paraId="47C633F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informohet më mirë publiku në lidhje me çështje të caktuara?</w:t>
            </w:r>
          </w:p>
        </w:tc>
        <w:tc>
          <w:tcPr>
            <w:tcW w:w="810" w:type="dxa"/>
          </w:tcPr>
          <w:p w14:paraId="19C41140" w14:textId="77777777" w:rsidR="007E1B0B" w:rsidRPr="000D3717" w:rsidRDefault="007E1B0B" w:rsidP="008D7069">
            <w:pPr>
              <w:rPr>
                <w:rFonts w:ascii="Times New Roman" w:hAnsi="Times New Roman" w:cs="Times New Roman"/>
                <w:sz w:val="24"/>
                <w:szCs w:val="24"/>
              </w:rPr>
            </w:pPr>
          </w:p>
        </w:tc>
        <w:tc>
          <w:tcPr>
            <w:tcW w:w="787" w:type="dxa"/>
          </w:tcPr>
          <w:p w14:paraId="11D69686" w14:textId="75D505B0"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70595716" w14:textId="77777777" w:rsidR="007E1B0B" w:rsidRPr="000D3717" w:rsidRDefault="007E1B0B" w:rsidP="008D7069">
            <w:pPr>
              <w:rPr>
                <w:rFonts w:ascii="Times New Roman" w:hAnsi="Times New Roman" w:cs="Times New Roman"/>
                <w:sz w:val="24"/>
                <w:szCs w:val="24"/>
              </w:rPr>
            </w:pPr>
          </w:p>
        </w:tc>
        <w:tc>
          <w:tcPr>
            <w:tcW w:w="1620" w:type="dxa"/>
          </w:tcPr>
          <w:p w14:paraId="2E6EE0FA" w14:textId="77777777" w:rsidR="007E1B0B" w:rsidRPr="000D3717" w:rsidRDefault="007E1B0B" w:rsidP="008D7069">
            <w:pPr>
              <w:rPr>
                <w:rFonts w:ascii="Times New Roman" w:hAnsi="Times New Roman" w:cs="Times New Roman"/>
                <w:sz w:val="24"/>
                <w:szCs w:val="24"/>
              </w:rPr>
            </w:pPr>
          </w:p>
        </w:tc>
        <w:tc>
          <w:tcPr>
            <w:tcW w:w="2610" w:type="dxa"/>
          </w:tcPr>
          <w:p w14:paraId="6EB9A591" w14:textId="77777777" w:rsidR="007E1B0B" w:rsidRPr="000D3717" w:rsidRDefault="007E1B0B" w:rsidP="008D7069">
            <w:pPr>
              <w:rPr>
                <w:rFonts w:ascii="Times New Roman" w:hAnsi="Times New Roman" w:cs="Times New Roman"/>
                <w:sz w:val="24"/>
                <w:szCs w:val="24"/>
              </w:rPr>
            </w:pPr>
          </w:p>
        </w:tc>
      </w:tr>
      <w:tr w:rsidR="007E1B0B" w:rsidRPr="000D3717" w14:paraId="11BE12AF" w14:textId="77777777" w:rsidTr="00595960">
        <w:tc>
          <w:tcPr>
            <w:tcW w:w="1710" w:type="dxa"/>
            <w:vMerge/>
          </w:tcPr>
          <w:p w14:paraId="376ECEE6" w14:textId="77777777" w:rsidR="007E1B0B" w:rsidRPr="000D3717" w:rsidRDefault="007E1B0B" w:rsidP="008D7069">
            <w:pPr>
              <w:rPr>
                <w:rFonts w:ascii="Times New Roman" w:hAnsi="Times New Roman" w:cs="Times New Roman"/>
                <w:sz w:val="24"/>
                <w:szCs w:val="24"/>
              </w:rPr>
            </w:pPr>
          </w:p>
        </w:tc>
        <w:tc>
          <w:tcPr>
            <w:tcW w:w="4163" w:type="dxa"/>
          </w:tcPr>
          <w:p w14:paraId="310418A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mënyrën se si funksionojnë partitë politike?</w:t>
            </w:r>
          </w:p>
        </w:tc>
        <w:tc>
          <w:tcPr>
            <w:tcW w:w="810" w:type="dxa"/>
          </w:tcPr>
          <w:p w14:paraId="0531D8D8" w14:textId="77777777" w:rsidR="007E1B0B" w:rsidRPr="000D3717" w:rsidRDefault="007E1B0B" w:rsidP="008D7069">
            <w:pPr>
              <w:rPr>
                <w:rFonts w:ascii="Times New Roman" w:hAnsi="Times New Roman" w:cs="Times New Roman"/>
                <w:sz w:val="24"/>
                <w:szCs w:val="24"/>
              </w:rPr>
            </w:pPr>
          </w:p>
        </w:tc>
        <w:tc>
          <w:tcPr>
            <w:tcW w:w="787" w:type="dxa"/>
          </w:tcPr>
          <w:p w14:paraId="64588FB6" w14:textId="52C8F850" w:rsidR="007E1B0B" w:rsidRPr="000D3717" w:rsidRDefault="007E1B0B" w:rsidP="008D7069">
            <w:pPr>
              <w:rPr>
                <w:rFonts w:ascii="Times New Roman" w:hAnsi="Times New Roman" w:cs="Times New Roman"/>
                <w:sz w:val="24"/>
                <w:szCs w:val="24"/>
              </w:rPr>
            </w:pPr>
            <w:r w:rsidRPr="00CB08BC">
              <w:rPr>
                <w:rFonts w:ascii="Times New Roman" w:hAnsi="Times New Roman" w:cs="Times New Roman"/>
                <w:sz w:val="24"/>
                <w:szCs w:val="24"/>
              </w:rPr>
              <w:t>x</w:t>
            </w:r>
          </w:p>
        </w:tc>
        <w:tc>
          <w:tcPr>
            <w:tcW w:w="2340" w:type="dxa"/>
          </w:tcPr>
          <w:p w14:paraId="348E30A1" w14:textId="77777777" w:rsidR="007E1B0B" w:rsidRPr="000D3717" w:rsidRDefault="007E1B0B" w:rsidP="008D7069">
            <w:pPr>
              <w:rPr>
                <w:rFonts w:ascii="Times New Roman" w:hAnsi="Times New Roman" w:cs="Times New Roman"/>
                <w:sz w:val="24"/>
                <w:szCs w:val="24"/>
              </w:rPr>
            </w:pPr>
          </w:p>
        </w:tc>
        <w:tc>
          <w:tcPr>
            <w:tcW w:w="1620" w:type="dxa"/>
          </w:tcPr>
          <w:p w14:paraId="4DEC5F76" w14:textId="77777777" w:rsidR="007E1B0B" w:rsidRPr="000D3717" w:rsidRDefault="007E1B0B" w:rsidP="008D7069">
            <w:pPr>
              <w:rPr>
                <w:rFonts w:ascii="Times New Roman" w:hAnsi="Times New Roman" w:cs="Times New Roman"/>
                <w:sz w:val="24"/>
                <w:szCs w:val="24"/>
              </w:rPr>
            </w:pPr>
          </w:p>
        </w:tc>
        <w:tc>
          <w:tcPr>
            <w:tcW w:w="2610" w:type="dxa"/>
          </w:tcPr>
          <w:p w14:paraId="00171CF2" w14:textId="77777777" w:rsidR="007E1B0B" w:rsidRPr="000D3717" w:rsidRDefault="007E1B0B" w:rsidP="008D7069">
            <w:pPr>
              <w:rPr>
                <w:rFonts w:ascii="Times New Roman" w:hAnsi="Times New Roman" w:cs="Times New Roman"/>
                <w:sz w:val="24"/>
                <w:szCs w:val="24"/>
              </w:rPr>
            </w:pPr>
          </w:p>
        </w:tc>
      </w:tr>
      <w:tr w:rsidR="007E1B0B" w:rsidRPr="000D3717" w14:paraId="10012390" w14:textId="77777777" w:rsidTr="00595960">
        <w:tc>
          <w:tcPr>
            <w:tcW w:w="1710" w:type="dxa"/>
            <w:vMerge/>
          </w:tcPr>
          <w:p w14:paraId="43DF81D7" w14:textId="77777777" w:rsidR="007E1B0B" w:rsidRPr="000D3717" w:rsidRDefault="007E1B0B" w:rsidP="008D7069">
            <w:pPr>
              <w:rPr>
                <w:rFonts w:ascii="Times New Roman" w:hAnsi="Times New Roman" w:cs="Times New Roman"/>
                <w:sz w:val="24"/>
                <w:szCs w:val="24"/>
              </w:rPr>
            </w:pPr>
          </w:p>
        </w:tc>
        <w:tc>
          <w:tcPr>
            <w:tcW w:w="4163" w:type="dxa"/>
          </w:tcPr>
          <w:p w14:paraId="7084FA6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ndikim në shoqërinë civile?</w:t>
            </w:r>
          </w:p>
        </w:tc>
        <w:tc>
          <w:tcPr>
            <w:tcW w:w="810" w:type="dxa"/>
          </w:tcPr>
          <w:p w14:paraId="38880FC0" w14:textId="77777777" w:rsidR="007E1B0B" w:rsidRPr="000D3717" w:rsidRDefault="007E1B0B" w:rsidP="008D7069">
            <w:pPr>
              <w:rPr>
                <w:rFonts w:ascii="Times New Roman" w:hAnsi="Times New Roman" w:cs="Times New Roman"/>
                <w:sz w:val="24"/>
                <w:szCs w:val="24"/>
              </w:rPr>
            </w:pPr>
          </w:p>
        </w:tc>
        <w:tc>
          <w:tcPr>
            <w:tcW w:w="787" w:type="dxa"/>
          </w:tcPr>
          <w:p w14:paraId="56D0FECF" w14:textId="1AC1488A"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2ACC1EAC" w14:textId="77777777" w:rsidR="007E1B0B" w:rsidRPr="000D3717" w:rsidRDefault="007E1B0B" w:rsidP="008D7069">
            <w:pPr>
              <w:rPr>
                <w:rFonts w:ascii="Times New Roman" w:hAnsi="Times New Roman" w:cs="Times New Roman"/>
                <w:sz w:val="24"/>
                <w:szCs w:val="24"/>
              </w:rPr>
            </w:pPr>
          </w:p>
        </w:tc>
        <w:tc>
          <w:tcPr>
            <w:tcW w:w="1620" w:type="dxa"/>
          </w:tcPr>
          <w:p w14:paraId="73C16D4B" w14:textId="77777777" w:rsidR="007E1B0B" w:rsidRPr="000D3717" w:rsidRDefault="007E1B0B" w:rsidP="008D7069">
            <w:pPr>
              <w:rPr>
                <w:rFonts w:ascii="Times New Roman" w:hAnsi="Times New Roman" w:cs="Times New Roman"/>
                <w:sz w:val="24"/>
                <w:szCs w:val="24"/>
              </w:rPr>
            </w:pPr>
          </w:p>
        </w:tc>
        <w:tc>
          <w:tcPr>
            <w:tcW w:w="2610" w:type="dxa"/>
          </w:tcPr>
          <w:p w14:paraId="5E8ADB04" w14:textId="77777777" w:rsidR="007E1B0B" w:rsidRPr="000D3717" w:rsidRDefault="007E1B0B" w:rsidP="008D7069">
            <w:pPr>
              <w:rPr>
                <w:rFonts w:ascii="Times New Roman" w:hAnsi="Times New Roman" w:cs="Times New Roman"/>
                <w:sz w:val="24"/>
                <w:szCs w:val="24"/>
              </w:rPr>
            </w:pPr>
          </w:p>
        </w:tc>
      </w:tr>
      <w:tr w:rsidR="007E1B0B" w:rsidRPr="000D3717" w14:paraId="7ACE0BD3" w14:textId="77777777" w:rsidTr="00595960">
        <w:tc>
          <w:tcPr>
            <w:tcW w:w="1710" w:type="dxa"/>
            <w:vMerge w:val="restart"/>
          </w:tcPr>
          <w:p w14:paraId="16BE0F8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Shëndeti dhe siguria publike</w:t>
            </w:r>
            <w:r w:rsidRPr="000D3717">
              <w:rPr>
                <w:rStyle w:val="FootnoteReference"/>
                <w:rFonts w:ascii="Times New Roman" w:hAnsi="Times New Roman" w:cs="Times New Roman"/>
                <w:sz w:val="24"/>
                <w:szCs w:val="24"/>
              </w:rPr>
              <w:footnoteReference w:id="25"/>
            </w:r>
          </w:p>
        </w:tc>
        <w:tc>
          <w:tcPr>
            <w:tcW w:w="4163" w:type="dxa"/>
          </w:tcPr>
          <w:p w14:paraId="1465603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ndikim në jetën e njerëzve, siç është jetëgjatësia apo shkalla e vdekshmërisë?</w:t>
            </w:r>
          </w:p>
        </w:tc>
        <w:tc>
          <w:tcPr>
            <w:tcW w:w="810" w:type="dxa"/>
          </w:tcPr>
          <w:p w14:paraId="1028F919" w14:textId="77777777" w:rsidR="007E1B0B" w:rsidRPr="000D3717" w:rsidRDefault="007E1B0B" w:rsidP="008D7069">
            <w:pPr>
              <w:rPr>
                <w:rFonts w:ascii="Times New Roman" w:hAnsi="Times New Roman" w:cs="Times New Roman"/>
                <w:sz w:val="24"/>
                <w:szCs w:val="24"/>
              </w:rPr>
            </w:pPr>
          </w:p>
        </w:tc>
        <w:tc>
          <w:tcPr>
            <w:tcW w:w="787" w:type="dxa"/>
          </w:tcPr>
          <w:p w14:paraId="0EE8E2C4" w14:textId="589C3FEF"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175032E7" w14:textId="77777777" w:rsidR="007E1B0B" w:rsidRPr="000D3717" w:rsidRDefault="007E1B0B" w:rsidP="008D7069">
            <w:pPr>
              <w:rPr>
                <w:rFonts w:ascii="Times New Roman" w:hAnsi="Times New Roman" w:cs="Times New Roman"/>
                <w:sz w:val="24"/>
                <w:szCs w:val="24"/>
              </w:rPr>
            </w:pPr>
          </w:p>
        </w:tc>
        <w:tc>
          <w:tcPr>
            <w:tcW w:w="1620" w:type="dxa"/>
          </w:tcPr>
          <w:p w14:paraId="7ABD7625" w14:textId="77777777" w:rsidR="007E1B0B" w:rsidRPr="000D3717" w:rsidRDefault="007E1B0B" w:rsidP="008D7069">
            <w:pPr>
              <w:rPr>
                <w:rFonts w:ascii="Times New Roman" w:hAnsi="Times New Roman" w:cs="Times New Roman"/>
                <w:sz w:val="24"/>
                <w:szCs w:val="24"/>
              </w:rPr>
            </w:pPr>
          </w:p>
        </w:tc>
        <w:tc>
          <w:tcPr>
            <w:tcW w:w="2610" w:type="dxa"/>
          </w:tcPr>
          <w:p w14:paraId="516A6C6A" w14:textId="77777777" w:rsidR="007E1B0B" w:rsidRPr="000D3717" w:rsidRDefault="007E1B0B" w:rsidP="008D7069">
            <w:pPr>
              <w:rPr>
                <w:rFonts w:ascii="Times New Roman" w:hAnsi="Times New Roman" w:cs="Times New Roman"/>
                <w:sz w:val="24"/>
                <w:szCs w:val="24"/>
              </w:rPr>
            </w:pPr>
          </w:p>
        </w:tc>
      </w:tr>
      <w:tr w:rsidR="007E1B0B" w:rsidRPr="000D3717" w14:paraId="4592F024" w14:textId="77777777" w:rsidTr="00595960">
        <w:tc>
          <w:tcPr>
            <w:tcW w:w="1710" w:type="dxa"/>
            <w:vMerge/>
          </w:tcPr>
          <w:p w14:paraId="4DA89E61" w14:textId="77777777" w:rsidR="007E1B0B" w:rsidRPr="000D3717" w:rsidRDefault="007E1B0B" w:rsidP="008D7069">
            <w:pPr>
              <w:rPr>
                <w:rFonts w:ascii="Times New Roman" w:hAnsi="Times New Roman" w:cs="Times New Roman"/>
                <w:sz w:val="24"/>
                <w:szCs w:val="24"/>
              </w:rPr>
            </w:pPr>
          </w:p>
        </w:tc>
        <w:tc>
          <w:tcPr>
            <w:tcW w:w="4163" w:type="dxa"/>
          </w:tcPr>
          <w:p w14:paraId="58D0CB79"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cilësinë e ushqimit?</w:t>
            </w:r>
          </w:p>
        </w:tc>
        <w:tc>
          <w:tcPr>
            <w:tcW w:w="810" w:type="dxa"/>
          </w:tcPr>
          <w:p w14:paraId="5D1AD1CC" w14:textId="77777777" w:rsidR="007E1B0B" w:rsidRPr="000D3717" w:rsidRDefault="007E1B0B" w:rsidP="008D7069">
            <w:pPr>
              <w:rPr>
                <w:rFonts w:ascii="Times New Roman" w:hAnsi="Times New Roman" w:cs="Times New Roman"/>
                <w:sz w:val="24"/>
                <w:szCs w:val="24"/>
              </w:rPr>
            </w:pPr>
          </w:p>
        </w:tc>
        <w:tc>
          <w:tcPr>
            <w:tcW w:w="787" w:type="dxa"/>
          </w:tcPr>
          <w:p w14:paraId="68EF6E13" w14:textId="2662805A"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445ECF7B" w14:textId="77777777" w:rsidR="007E1B0B" w:rsidRPr="000D3717" w:rsidRDefault="007E1B0B" w:rsidP="008D7069">
            <w:pPr>
              <w:rPr>
                <w:rFonts w:ascii="Times New Roman" w:hAnsi="Times New Roman" w:cs="Times New Roman"/>
                <w:sz w:val="24"/>
                <w:szCs w:val="24"/>
              </w:rPr>
            </w:pPr>
          </w:p>
        </w:tc>
        <w:tc>
          <w:tcPr>
            <w:tcW w:w="1620" w:type="dxa"/>
          </w:tcPr>
          <w:p w14:paraId="044A6FD6" w14:textId="77777777" w:rsidR="007E1B0B" w:rsidRPr="000D3717" w:rsidRDefault="007E1B0B" w:rsidP="008D7069">
            <w:pPr>
              <w:rPr>
                <w:rFonts w:ascii="Times New Roman" w:hAnsi="Times New Roman" w:cs="Times New Roman"/>
                <w:sz w:val="24"/>
                <w:szCs w:val="24"/>
              </w:rPr>
            </w:pPr>
          </w:p>
        </w:tc>
        <w:tc>
          <w:tcPr>
            <w:tcW w:w="2610" w:type="dxa"/>
          </w:tcPr>
          <w:p w14:paraId="36B12987" w14:textId="77777777" w:rsidR="007E1B0B" w:rsidRPr="000D3717" w:rsidRDefault="007E1B0B" w:rsidP="008D7069">
            <w:pPr>
              <w:rPr>
                <w:rFonts w:ascii="Times New Roman" w:hAnsi="Times New Roman" w:cs="Times New Roman"/>
                <w:sz w:val="24"/>
                <w:szCs w:val="24"/>
              </w:rPr>
            </w:pPr>
          </w:p>
        </w:tc>
      </w:tr>
      <w:tr w:rsidR="007E1B0B" w:rsidRPr="000D3717" w14:paraId="10B5E9D8" w14:textId="77777777" w:rsidTr="00595960">
        <w:tc>
          <w:tcPr>
            <w:tcW w:w="1710" w:type="dxa"/>
            <w:vMerge/>
          </w:tcPr>
          <w:p w14:paraId="31137596" w14:textId="77777777" w:rsidR="007E1B0B" w:rsidRPr="000D3717" w:rsidRDefault="007E1B0B" w:rsidP="008D7069">
            <w:pPr>
              <w:rPr>
                <w:rFonts w:ascii="Times New Roman" w:hAnsi="Times New Roman" w:cs="Times New Roman"/>
                <w:sz w:val="24"/>
                <w:szCs w:val="24"/>
              </w:rPr>
            </w:pPr>
          </w:p>
        </w:tc>
        <w:tc>
          <w:tcPr>
            <w:tcW w:w="4163" w:type="dxa"/>
          </w:tcPr>
          <w:p w14:paraId="5292D38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rritet apo zvogëlohet rreziku shëndetësor për shkak të substancave të dëmshme? </w:t>
            </w:r>
          </w:p>
        </w:tc>
        <w:tc>
          <w:tcPr>
            <w:tcW w:w="810" w:type="dxa"/>
          </w:tcPr>
          <w:p w14:paraId="65C9F2A7" w14:textId="77777777" w:rsidR="007E1B0B" w:rsidRPr="000D3717" w:rsidRDefault="007E1B0B" w:rsidP="008D7069">
            <w:pPr>
              <w:rPr>
                <w:rFonts w:ascii="Times New Roman" w:hAnsi="Times New Roman" w:cs="Times New Roman"/>
                <w:sz w:val="24"/>
                <w:szCs w:val="24"/>
              </w:rPr>
            </w:pPr>
          </w:p>
        </w:tc>
        <w:tc>
          <w:tcPr>
            <w:tcW w:w="787" w:type="dxa"/>
          </w:tcPr>
          <w:p w14:paraId="0F6EE03D" w14:textId="32AA185D"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2B9D4965" w14:textId="77777777" w:rsidR="007E1B0B" w:rsidRPr="000D3717" w:rsidRDefault="007E1B0B" w:rsidP="008D7069">
            <w:pPr>
              <w:rPr>
                <w:rFonts w:ascii="Times New Roman" w:hAnsi="Times New Roman" w:cs="Times New Roman"/>
                <w:sz w:val="24"/>
                <w:szCs w:val="24"/>
              </w:rPr>
            </w:pPr>
          </w:p>
        </w:tc>
        <w:tc>
          <w:tcPr>
            <w:tcW w:w="1620" w:type="dxa"/>
          </w:tcPr>
          <w:p w14:paraId="4C157B3C" w14:textId="77777777" w:rsidR="007E1B0B" w:rsidRPr="000D3717" w:rsidRDefault="007E1B0B" w:rsidP="008D7069">
            <w:pPr>
              <w:rPr>
                <w:rFonts w:ascii="Times New Roman" w:hAnsi="Times New Roman" w:cs="Times New Roman"/>
                <w:sz w:val="24"/>
                <w:szCs w:val="24"/>
              </w:rPr>
            </w:pPr>
          </w:p>
        </w:tc>
        <w:tc>
          <w:tcPr>
            <w:tcW w:w="2610" w:type="dxa"/>
          </w:tcPr>
          <w:p w14:paraId="6F259AF0" w14:textId="77777777" w:rsidR="007E1B0B" w:rsidRPr="000D3717" w:rsidRDefault="007E1B0B" w:rsidP="008D7069">
            <w:pPr>
              <w:rPr>
                <w:rFonts w:ascii="Times New Roman" w:hAnsi="Times New Roman" w:cs="Times New Roman"/>
                <w:sz w:val="24"/>
                <w:szCs w:val="24"/>
              </w:rPr>
            </w:pPr>
          </w:p>
        </w:tc>
      </w:tr>
      <w:tr w:rsidR="007E1B0B" w:rsidRPr="000D3717" w14:paraId="1100D366" w14:textId="77777777" w:rsidTr="00595960">
        <w:tc>
          <w:tcPr>
            <w:tcW w:w="1710" w:type="dxa"/>
            <w:vMerge/>
          </w:tcPr>
          <w:p w14:paraId="2DD8B24D" w14:textId="77777777" w:rsidR="007E1B0B" w:rsidRPr="000D3717" w:rsidRDefault="007E1B0B" w:rsidP="008D7069">
            <w:pPr>
              <w:rPr>
                <w:rFonts w:ascii="Times New Roman" w:hAnsi="Times New Roman" w:cs="Times New Roman"/>
                <w:sz w:val="24"/>
                <w:szCs w:val="24"/>
              </w:rPr>
            </w:pPr>
          </w:p>
        </w:tc>
        <w:tc>
          <w:tcPr>
            <w:tcW w:w="4163" w:type="dxa"/>
          </w:tcPr>
          <w:p w14:paraId="6D3CFB9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efekte shëndetësore për shkak të ndryshimeve në nivelet e zhurmës apo cilësinë e ajrit, ujit dhe/ose tokës?</w:t>
            </w:r>
          </w:p>
        </w:tc>
        <w:tc>
          <w:tcPr>
            <w:tcW w:w="810" w:type="dxa"/>
          </w:tcPr>
          <w:p w14:paraId="578D35A9" w14:textId="77777777" w:rsidR="007E1B0B" w:rsidRPr="000D3717" w:rsidRDefault="007E1B0B" w:rsidP="008D7069">
            <w:pPr>
              <w:rPr>
                <w:rFonts w:ascii="Times New Roman" w:hAnsi="Times New Roman" w:cs="Times New Roman"/>
                <w:sz w:val="24"/>
                <w:szCs w:val="24"/>
              </w:rPr>
            </w:pPr>
          </w:p>
        </w:tc>
        <w:tc>
          <w:tcPr>
            <w:tcW w:w="787" w:type="dxa"/>
          </w:tcPr>
          <w:p w14:paraId="5F5071D4" w14:textId="307C2E7D"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2C2BBF43" w14:textId="77777777" w:rsidR="007E1B0B" w:rsidRPr="000D3717" w:rsidRDefault="007E1B0B" w:rsidP="008D7069">
            <w:pPr>
              <w:rPr>
                <w:rFonts w:ascii="Times New Roman" w:hAnsi="Times New Roman" w:cs="Times New Roman"/>
                <w:sz w:val="24"/>
                <w:szCs w:val="24"/>
              </w:rPr>
            </w:pPr>
          </w:p>
        </w:tc>
        <w:tc>
          <w:tcPr>
            <w:tcW w:w="1620" w:type="dxa"/>
          </w:tcPr>
          <w:p w14:paraId="255540BD" w14:textId="77777777" w:rsidR="007E1B0B" w:rsidRPr="000D3717" w:rsidRDefault="007E1B0B" w:rsidP="008D7069">
            <w:pPr>
              <w:rPr>
                <w:rFonts w:ascii="Times New Roman" w:hAnsi="Times New Roman" w:cs="Times New Roman"/>
                <w:sz w:val="24"/>
                <w:szCs w:val="24"/>
              </w:rPr>
            </w:pPr>
          </w:p>
        </w:tc>
        <w:tc>
          <w:tcPr>
            <w:tcW w:w="2610" w:type="dxa"/>
          </w:tcPr>
          <w:p w14:paraId="52A14C81" w14:textId="77777777" w:rsidR="007E1B0B" w:rsidRPr="000D3717" w:rsidRDefault="007E1B0B" w:rsidP="008D7069">
            <w:pPr>
              <w:rPr>
                <w:rFonts w:ascii="Times New Roman" w:hAnsi="Times New Roman" w:cs="Times New Roman"/>
                <w:sz w:val="24"/>
                <w:szCs w:val="24"/>
              </w:rPr>
            </w:pPr>
          </w:p>
        </w:tc>
      </w:tr>
      <w:tr w:rsidR="007E1B0B" w:rsidRPr="000D3717" w14:paraId="19412020" w14:textId="77777777" w:rsidTr="00595960">
        <w:tc>
          <w:tcPr>
            <w:tcW w:w="1710" w:type="dxa"/>
            <w:vMerge/>
          </w:tcPr>
          <w:p w14:paraId="67BA9E0F" w14:textId="77777777" w:rsidR="007E1B0B" w:rsidRPr="000D3717" w:rsidRDefault="007E1B0B" w:rsidP="008D7069">
            <w:pPr>
              <w:rPr>
                <w:rFonts w:ascii="Times New Roman" w:hAnsi="Times New Roman" w:cs="Times New Roman"/>
                <w:sz w:val="24"/>
                <w:szCs w:val="24"/>
              </w:rPr>
            </w:pPr>
          </w:p>
        </w:tc>
        <w:tc>
          <w:tcPr>
            <w:tcW w:w="4163" w:type="dxa"/>
          </w:tcPr>
          <w:p w14:paraId="7D4E938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efekte shëndetësore për shkak të ndryshimeve në përdorimin e energjisë?</w:t>
            </w:r>
          </w:p>
        </w:tc>
        <w:tc>
          <w:tcPr>
            <w:tcW w:w="810" w:type="dxa"/>
          </w:tcPr>
          <w:p w14:paraId="4A7E28A3" w14:textId="77777777" w:rsidR="007E1B0B" w:rsidRPr="000D3717" w:rsidRDefault="007E1B0B" w:rsidP="008D7069">
            <w:pPr>
              <w:rPr>
                <w:rFonts w:ascii="Times New Roman" w:hAnsi="Times New Roman" w:cs="Times New Roman"/>
                <w:sz w:val="24"/>
                <w:szCs w:val="24"/>
              </w:rPr>
            </w:pPr>
          </w:p>
        </w:tc>
        <w:tc>
          <w:tcPr>
            <w:tcW w:w="787" w:type="dxa"/>
          </w:tcPr>
          <w:p w14:paraId="64E9CE74" w14:textId="357FFACE" w:rsidR="007E1B0B" w:rsidRPr="000D3717" w:rsidRDefault="007E1B0B" w:rsidP="008D7069">
            <w:pPr>
              <w:rPr>
                <w:rFonts w:ascii="Times New Roman" w:hAnsi="Times New Roman" w:cs="Times New Roman"/>
                <w:sz w:val="24"/>
                <w:szCs w:val="24"/>
              </w:rPr>
            </w:pPr>
            <w:r w:rsidRPr="00A31F3C">
              <w:rPr>
                <w:rFonts w:ascii="Times New Roman" w:hAnsi="Times New Roman" w:cs="Times New Roman"/>
                <w:sz w:val="24"/>
                <w:szCs w:val="24"/>
              </w:rPr>
              <w:t>x</w:t>
            </w:r>
          </w:p>
        </w:tc>
        <w:tc>
          <w:tcPr>
            <w:tcW w:w="2340" w:type="dxa"/>
          </w:tcPr>
          <w:p w14:paraId="78A21ECA" w14:textId="77777777" w:rsidR="007E1B0B" w:rsidRPr="000D3717" w:rsidRDefault="007E1B0B" w:rsidP="008D7069">
            <w:pPr>
              <w:rPr>
                <w:rFonts w:ascii="Times New Roman" w:hAnsi="Times New Roman" w:cs="Times New Roman"/>
                <w:sz w:val="24"/>
                <w:szCs w:val="24"/>
              </w:rPr>
            </w:pPr>
          </w:p>
        </w:tc>
        <w:tc>
          <w:tcPr>
            <w:tcW w:w="1620" w:type="dxa"/>
          </w:tcPr>
          <w:p w14:paraId="7E8425BD" w14:textId="77777777" w:rsidR="007E1B0B" w:rsidRPr="000D3717" w:rsidRDefault="007E1B0B" w:rsidP="008D7069">
            <w:pPr>
              <w:rPr>
                <w:rFonts w:ascii="Times New Roman" w:hAnsi="Times New Roman" w:cs="Times New Roman"/>
                <w:sz w:val="24"/>
                <w:szCs w:val="24"/>
              </w:rPr>
            </w:pPr>
          </w:p>
        </w:tc>
        <w:tc>
          <w:tcPr>
            <w:tcW w:w="2610" w:type="dxa"/>
          </w:tcPr>
          <w:p w14:paraId="2EA8B554" w14:textId="77777777" w:rsidR="007E1B0B" w:rsidRPr="000D3717" w:rsidRDefault="007E1B0B" w:rsidP="008D7069">
            <w:pPr>
              <w:rPr>
                <w:rFonts w:ascii="Times New Roman" w:hAnsi="Times New Roman" w:cs="Times New Roman"/>
                <w:sz w:val="24"/>
                <w:szCs w:val="24"/>
              </w:rPr>
            </w:pPr>
          </w:p>
        </w:tc>
      </w:tr>
      <w:tr w:rsidR="007E1B0B" w:rsidRPr="000D3717" w14:paraId="6442640F" w14:textId="77777777" w:rsidTr="00595960">
        <w:tc>
          <w:tcPr>
            <w:tcW w:w="1710" w:type="dxa"/>
            <w:vMerge/>
          </w:tcPr>
          <w:p w14:paraId="727A1F79" w14:textId="77777777" w:rsidR="007E1B0B" w:rsidRPr="000D3717" w:rsidRDefault="007E1B0B" w:rsidP="008D7069">
            <w:pPr>
              <w:rPr>
                <w:rFonts w:ascii="Times New Roman" w:hAnsi="Times New Roman" w:cs="Times New Roman"/>
                <w:sz w:val="24"/>
                <w:szCs w:val="24"/>
              </w:rPr>
            </w:pPr>
          </w:p>
        </w:tc>
        <w:tc>
          <w:tcPr>
            <w:tcW w:w="4163" w:type="dxa"/>
          </w:tcPr>
          <w:p w14:paraId="5216597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efekte shëndetësore për shkak të ndryshimeve në deponimin e mbeturinave?</w:t>
            </w:r>
          </w:p>
        </w:tc>
        <w:tc>
          <w:tcPr>
            <w:tcW w:w="810" w:type="dxa"/>
          </w:tcPr>
          <w:p w14:paraId="3E733BD1" w14:textId="77777777" w:rsidR="007E1B0B" w:rsidRPr="000D3717" w:rsidRDefault="007E1B0B" w:rsidP="008D7069">
            <w:pPr>
              <w:rPr>
                <w:rFonts w:ascii="Times New Roman" w:hAnsi="Times New Roman" w:cs="Times New Roman"/>
                <w:sz w:val="24"/>
                <w:szCs w:val="24"/>
              </w:rPr>
            </w:pPr>
          </w:p>
        </w:tc>
        <w:tc>
          <w:tcPr>
            <w:tcW w:w="787" w:type="dxa"/>
          </w:tcPr>
          <w:p w14:paraId="65CA97FE" w14:textId="6B99F775" w:rsidR="007E1B0B" w:rsidRPr="000D3717" w:rsidRDefault="007E1B0B" w:rsidP="008D7069">
            <w:pPr>
              <w:rPr>
                <w:rFonts w:ascii="Times New Roman" w:hAnsi="Times New Roman" w:cs="Times New Roman"/>
                <w:sz w:val="24"/>
                <w:szCs w:val="24"/>
              </w:rPr>
            </w:pPr>
            <w:r w:rsidRPr="002D19E2">
              <w:rPr>
                <w:rFonts w:ascii="Times New Roman" w:hAnsi="Times New Roman" w:cs="Times New Roman"/>
                <w:sz w:val="24"/>
                <w:szCs w:val="24"/>
              </w:rPr>
              <w:t>x</w:t>
            </w:r>
          </w:p>
        </w:tc>
        <w:tc>
          <w:tcPr>
            <w:tcW w:w="2340" w:type="dxa"/>
          </w:tcPr>
          <w:p w14:paraId="2835C7A9" w14:textId="77777777" w:rsidR="007E1B0B" w:rsidRPr="000D3717" w:rsidRDefault="007E1B0B" w:rsidP="008D7069">
            <w:pPr>
              <w:rPr>
                <w:rFonts w:ascii="Times New Roman" w:hAnsi="Times New Roman" w:cs="Times New Roman"/>
                <w:sz w:val="24"/>
                <w:szCs w:val="24"/>
              </w:rPr>
            </w:pPr>
          </w:p>
        </w:tc>
        <w:tc>
          <w:tcPr>
            <w:tcW w:w="1620" w:type="dxa"/>
          </w:tcPr>
          <w:p w14:paraId="323976D0" w14:textId="77777777" w:rsidR="007E1B0B" w:rsidRPr="000D3717" w:rsidRDefault="007E1B0B" w:rsidP="008D7069">
            <w:pPr>
              <w:rPr>
                <w:rFonts w:ascii="Times New Roman" w:hAnsi="Times New Roman" w:cs="Times New Roman"/>
                <w:sz w:val="24"/>
                <w:szCs w:val="24"/>
              </w:rPr>
            </w:pPr>
          </w:p>
        </w:tc>
        <w:tc>
          <w:tcPr>
            <w:tcW w:w="2610" w:type="dxa"/>
          </w:tcPr>
          <w:p w14:paraId="618FC9ED" w14:textId="77777777" w:rsidR="007E1B0B" w:rsidRPr="000D3717" w:rsidRDefault="007E1B0B" w:rsidP="008D7069">
            <w:pPr>
              <w:rPr>
                <w:rFonts w:ascii="Times New Roman" w:hAnsi="Times New Roman" w:cs="Times New Roman"/>
                <w:sz w:val="24"/>
                <w:szCs w:val="24"/>
              </w:rPr>
            </w:pPr>
          </w:p>
        </w:tc>
      </w:tr>
      <w:tr w:rsidR="007E1B0B" w:rsidRPr="000D3717" w14:paraId="6226F454" w14:textId="77777777" w:rsidTr="00595960">
        <w:tc>
          <w:tcPr>
            <w:tcW w:w="1710" w:type="dxa"/>
            <w:vMerge/>
          </w:tcPr>
          <w:p w14:paraId="620580EB" w14:textId="77777777" w:rsidR="007E1B0B" w:rsidRPr="000D3717" w:rsidRDefault="007E1B0B" w:rsidP="008D7069">
            <w:pPr>
              <w:rPr>
                <w:rFonts w:ascii="Times New Roman" w:hAnsi="Times New Roman" w:cs="Times New Roman"/>
                <w:sz w:val="24"/>
                <w:szCs w:val="24"/>
              </w:rPr>
            </w:pPr>
          </w:p>
        </w:tc>
        <w:tc>
          <w:tcPr>
            <w:tcW w:w="4163" w:type="dxa"/>
          </w:tcPr>
          <w:p w14:paraId="082F9FA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ketë ndikim në mënyrën e jetesës së njerëzve, siç janë nivelet e interesimit për sport, ndryshimet në </w:t>
            </w:r>
            <w:proofErr w:type="spellStart"/>
            <w:r w:rsidRPr="000D3717">
              <w:rPr>
                <w:rFonts w:ascii="Times New Roman" w:hAnsi="Times New Roman" w:cs="Times New Roman"/>
                <w:sz w:val="24"/>
                <w:szCs w:val="24"/>
              </w:rPr>
              <w:t>ushqyeshmëri</w:t>
            </w:r>
            <w:proofErr w:type="spellEnd"/>
            <w:r w:rsidRPr="000D3717">
              <w:rPr>
                <w:rFonts w:ascii="Times New Roman" w:hAnsi="Times New Roman" w:cs="Times New Roman"/>
                <w:sz w:val="24"/>
                <w:szCs w:val="24"/>
              </w:rPr>
              <w:t>, ose ndryshimet në përdorimin e duhanit ose alkoolit?</w:t>
            </w:r>
          </w:p>
        </w:tc>
        <w:tc>
          <w:tcPr>
            <w:tcW w:w="810" w:type="dxa"/>
          </w:tcPr>
          <w:p w14:paraId="260D5D55" w14:textId="77777777" w:rsidR="007E1B0B" w:rsidRPr="000D3717" w:rsidRDefault="007E1B0B" w:rsidP="008D7069">
            <w:pPr>
              <w:rPr>
                <w:rFonts w:ascii="Times New Roman" w:hAnsi="Times New Roman" w:cs="Times New Roman"/>
                <w:sz w:val="24"/>
                <w:szCs w:val="24"/>
              </w:rPr>
            </w:pPr>
          </w:p>
        </w:tc>
        <w:tc>
          <w:tcPr>
            <w:tcW w:w="787" w:type="dxa"/>
          </w:tcPr>
          <w:p w14:paraId="69C2432B" w14:textId="6A07129B" w:rsidR="007E1B0B" w:rsidRPr="000D3717" w:rsidRDefault="007E1B0B" w:rsidP="008D7069">
            <w:pPr>
              <w:rPr>
                <w:rFonts w:ascii="Times New Roman" w:hAnsi="Times New Roman" w:cs="Times New Roman"/>
                <w:sz w:val="24"/>
                <w:szCs w:val="24"/>
              </w:rPr>
            </w:pPr>
            <w:r w:rsidRPr="002D19E2">
              <w:rPr>
                <w:rFonts w:ascii="Times New Roman" w:hAnsi="Times New Roman" w:cs="Times New Roman"/>
                <w:sz w:val="24"/>
                <w:szCs w:val="24"/>
              </w:rPr>
              <w:t>x</w:t>
            </w:r>
          </w:p>
        </w:tc>
        <w:tc>
          <w:tcPr>
            <w:tcW w:w="2340" w:type="dxa"/>
          </w:tcPr>
          <w:p w14:paraId="5C97B8CA" w14:textId="77777777" w:rsidR="007E1B0B" w:rsidRPr="000D3717" w:rsidRDefault="007E1B0B" w:rsidP="008D7069">
            <w:pPr>
              <w:rPr>
                <w:rFonts w:ascii="Times New Roman" w:hAnsi="Times New Roman" w:cs="Times New Roman"/>
                <w:sz w:val="24"/>
                <w:szCs w:val="24"/>
              </w:rPr>
            </w:pPr>
          </w:p>
        </w:tc>
        <w:tc>
          <w:tcPr>
            <w:tcW w:w="1620" w:type="dxa"/>
          </w:tcPr>
          <w:p w14:paraId="4398F400" w14:textId="77777777" w:rsidR="007E1B0B" w:rsidRPr="000D3717" w:rsidRDefault="007E1B0B" w:rsidP="008D7069">
            <w:pPr>
              <w:rPr>
                <w:rFonts w:ascii="Times New Roman" w:hAnsi="Times New Roman" w:cs="Times New Roman"/>
                <w:sz w:val="24"/>
                <w:szCs w:val="24"/>
              </w:rPr>
            </w:pPr>
          </w:p>
        </w:tc>
        <w:tc>
          <w:tcPr>
            <w:tcW w:w="2610" w:type="dxa"/>
          </w:tcPr>
          <w:p w14:paraId="5DD57CF0" w14:textId="77777777" w:rsidR="007E1B0B" w:rsidRPr="000D3717" w:rsidRDefault="007E1B0B" w:rsidP="008D7069">
            <w:pPr>
              <w:rPr>
                <w:rFonts w:ascii="Times New Roman" w:hAnsi="Times New Roman" w:cs="Times New Roman"/>
                <w:sz w:val="24"/>
                <w:szCs w:val="24"/>
              </w:rPr>
            </w:pPr>
          </w:p>
        </w:tc>
      </w:tr>
      <w:tr w:rsidR="007E1B0B" w:rsidRPr="000D3717" w14:paraId="3C43D8F4" w14:textId="77777777" w:rsidTr="00595960">
        <w:tc>
          <w:tcPr>
            <w:tcW w:w="1710" w:type="dxa"/>
            <w:vMerge/>
          </w:tcPr>
          <w:p w14:paraId="0B781EFF" w14:textId="77777777" w:rsidR="007E1B0B" w:rsidRPr="000D3717" w:rsidRDefault="007E1B0B" w:rsidP="008D7069">
            <w:pPr>
              <w:rPr>
                <w:rFonts w:ascii="Times New Roman" w:hAnsi="Times New Roman" w:cs="Times New Roman"/>
                <w:sz w:val="24"/>
                <w:szCs w:val="24"/>
              </w:rPr>
            </w:pPr>
          </w:p>
        </w:tc>
        <w:tc>
          <w:tcPr>
            <w:tcW w:w="4163" w:type="dxa"/>
          </w:tcPr>
          <w:p w14:paraId="1A49E65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14:paraId="201773CD" w14:textId="77777777" w:rsidR="007E1B0B" w:rsidRPr="000D3717" w:rsidRDefault="007E1B0B" w:rsidP="008D7069">
            <w:pPr>
              <w:rPr>
                <w:rFonts w:ascii="Times New Roman" w:hAnsi="Times New Roman" w:cs="Times New Roman"/>
                <w:sz w:val="24"/>
                <w:szCs w:val="24"/>
              </w:rPr>
            </w:pPr>
          </w:p>
        </w:tc>
        <w:tc>
          <w:tcPr>
            <w:tcW w:w="787" w:type="dxa"/>
          </w:tcPr>
          <w:p w14:paraId="3EC2362C" w14:textId="3980F805" w:rsidR="007E1B0B" w:rsidRPr="000D3717" w:rsidRDefault="007E1B0B" w:rsidP="008D7069">
            <w:pPr>
              <w:rPr>
                <w:rFonts w:ascii="Times New Roman" w:hAnsi="Times New Roman" w:cs="Times New Roman"/>
                <w:sz w:val="24"/>
                <w:szCs w:val="24"/>
              </w:rPr>
            </w:pPr>
            <w:r w:rsidRPr="002D19E2">
              <w:rPr>
                <w:rFonts w:ascii="Times New Roman" w:hAnsi="Times New Roman" w:cs="Times New Roman"/>
                <w:sz w:val="24"/>
                <w:szCs w:val="24"/>
              </w:rPr>
              <w:t>x</w:t>
            </w:r>
          </w:p>
        </w:tc>
        <w:tc>
          <w:tcPr>
            <w:tcW w:w="2340" w:type="dxa"/>
          </w:tcPr>
          <w:p w14:paraId="3BA50064" w14:textId="77777777" w:rsidR="007E1B0B" w:rsidRPr="000D3717" w:rsidRDefault="007E1B0B" w:rsidP="008D7069">
            <w:pPr>
              <w:rPr>
                <w:rFonts w:ascii="Times New Roman" w:hAnsi="Times New Roman" w:cs="Times New Roman"/>
                <w:sz w:val="24"/>
                <w:szCs w:val="24"/>
              </w:rPr>
            </w:pPr>
          </w:p>
        </w:tc>
        <w:tc>
          <w:tcPr>
            <w:tcW w:w="1620" w:type="dxa"/>
          </w:tcPr>
          <w:p w14:paraId="440CBDF7" w14:textId="77777777" w:rsidR="007E1B0B" w:rsidRPr="000D3717" w:rsidRDefault="007E1B0B" w:rsidP="008D7069">
            <w:pPr>
              <w:rPr>
                <w:rFonts w:ascii="Times New Roman" w:hAnsi="Times New Roman" w:cs="Times New Roman"/>
                <w:sz w:val="24"/>
                <w:szCs w:val="24"/>
              </w:rPr>
            </w:pPr>
          </w:p>
        </w:tc>
        <w:tc>
          <w:tcPr>
            <w:tcW w:w="2610" w:type="dxa"/>
          </w:tcPr>
          <w:p w14:paraId="37E08B11" w14:textId="77777777" w:rsidR="007E1B0B" w:rsidRPr="000D3717" w:rsidRDefault="007E1B0B" w:rsidP="008D7069">
            <w:pPr>
              <w:rPr>
                <w:rFonts w:ascii="Times New Roman" w:hAnsi="Times New Roman" w:cs="Times New Roman"/>
                <w:sz w:val="24"/>
                <w:szCs w:val="24"/>
              </w:rPr>
            </w:pPr>
          </w:p>
        </w:tc>
      </w:tr>
      <w:tr w:rsidR="007E1B0B" w:rsidRPr="000D3717" w14:paraId="5ACFB0EF" w14:textId="77777777" w:rsidTr="00595960">
        <w:tc>
          <w:tcPr>
            <w:tcW w:w="1710" w:type="dxa"/>
            <w:vMerge w:val="restart"/>
          </w:tcPr>
          <w:p w14:paraId="11E6D0F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Krimi dhe </w:t>
            </w:r>
            <w:r w:rsidRPr="000D3717">
              <w:rPr>
                <w:rFonts w:ascii="Times New Roman" w:hAnsi="Times New Roman" w:cs="Times New Roman"/>
                <w:sz w:val="24"/>
                <w:szCs w:val="24"/>
              </w:rPr>
              <w:lastRenderedPageBreak/>
              <w:t>siguria</w:t>
            </w:r>
          </w:p>
        </w:tc>
        <w:tc>
          <w:tcPr>
            <w:tcW w:w="4163" w:type="dxa"/>
          </w:tcPr>
          <w:p w14:paraId="5EEAB89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lastRenderedPageBreak/>
              <w:t xml:space="preserve">A ndikohen gjasat që të kapen </w:t>
            </w:r>
            <w:r w:rsidRPr="000D3717">
              <w:rPr>
                <w:rFonts w:ascii="Times New Roman" w:hAnsi="Times New Roman" w:cs="Times New Roman"/>
                <w:sz w:val="24"/>
                <w:szCs w:val="24"/>
              </w:rPr>
              <w:lastRenderedPageBreak/>
              <w:t>kriminelët?</w:t>
            </w:r>
          </w:p>
        </w:tc>
        <w:tc>
          <w:tcPr>
            <w:tcW w:w="810" w:type="dxa"/>
          </w:tcPr>
          <w:p w14:paraId="6DB96408" w14:textId="77777777" w:rsidR="007E1B0B" w:rsidRPr="000D3717" w:rsidRDefault="007E1B0B" w:rsidP="008D7069">
            <w:pPr>
              <w:rPr>
                <w:rFonts w:ascii="Times New Roman" w:hAnsi="Times New Roman" w:cs="Times New Roman"/>
                <w:sz w:val="24"/>
                <w:szCs w:val="24"/>
              </w:rPr>
            </w:pPr>
          </w:p>
        </w:tc>
        <w:tc>
          <w:tcPr>
            <w:tcW w:w="787" w:type="dxa"/>
          </w:tcPr>
          <w:p w14:paraId="7C3F708D" w14:textId="56334DB7" w:rsidR="007E1B0B" w:rsidRPr="000D3717" w:rsidRDefault="007E1B0B" w:rsidP="008D7069">
            <w:pPr>
              <w:rPr>
                <w:rFonts w:ascii="Times New Roman" w:hAnsi="Times New Roman" w:cs="Times New Roman"/>
                <w:sz w:val="24"/>
                <w:szCs w:val="24"/>
              </w:rPr>
            </w:pPr>
            <w:r w:rsidRPr="002D19E2">
              <w:rPr>
                <w:rFonts w:ascii="Times New Roman" w:hAnsi="Times New Roman" w:cs="Times New Roman"/>
                <w:sz w:val="24"/>
                <w:szCs w:val="24"/>
              </w:rPr>
              <w:t>x</w:t>
            </w:r>
          </w:p>
        </w:tc>
        <w:tc>
          <w:tcPr>
            <w:tcW w:w="2340" w:type="dxa"/>
          </w:tcPr>
          <w:p w14:paraId="28CDD5EC" w14:textId="77777777" w:rsidR="007E1B0B" w:rsidRPr="000D3717" w:rsidRDefault="007E1B0B" w:rsidP="008D7069">
            <w:pPr>
              <w:rPr>
                <w:rFonts w:ascii="Times New Roman" w:hAnsi="Times New Roman" w:cs="Times New Roman"/>
                <w:sz w:val="24"/>
                <w:szCs w:val="24"/>
              </w:rPr>
            </w:pPr>
          </w:p>
        </w:tc>
        <w:tc>
          <w:tcPr>
            <w:tcW w:w="1620" w:type="dxa"/>
          </w:tcPr>
          <w:p w14:paraId="7B948C95" w14:textId="77777777" w:rsidR="007E1B0B" w:rsidRPr="000D3717" w:rsidRDefault="007E1B0B" w:rsidP="008D7069">
            <w:pPr>
              <w:rPr>
                <w:rFonts w:ascii="Times New Roman" w:hAnsi="Times New Roman" w:cs="Times New Roman"/>
                <w:sz w:val="24"/>
                <w:szCs w:val="24"/>
              </w:rPr>
            </w:pPr>
          </w:p>
        </w:tc>
        <w:tc>
          <w:tcPr>
            <w:tcW w:w="2610" w:type="dxa"/>
          </w:tcPr>
          <w:p w14:paraId="0CE225C5" w14:textId="77777777" w:rsidR="007E1B0B" w:rsidRPr="000D3717" w:rsidRDefault="007E1B0B" w:rsidP="008D7069">
            <w:pPr>
              <w:rPr>
                <w:rFonts w:ascii="Times New Roman" w:hAnsi="Times New Roman" w:cs="Times New Roman"/>
                <w:sz w:val="24"/>
                <w:szCs w:val="24"/>
              </w:rPr>
            </w:pPr>
          </w:p>
        </w:tc>
      </w:tr>
      <w:tr w:rsidR="007E1B0B" w:rsidRPr="000D3717" w14:paraId="422C4DF2" w14:textId="77777777" w:rsidTr="00595960">
        <w:tc>
          <w:tcPr>
            <w:tcW w:w="1710" w:type="dxa"/>
            <w:vMerge/>
          </w:tcPr>
          <w:p w14:paraId="6CC3ADC4" w14:textId="77777777" w:rsidR="007E1B0B" w:rsidRPr="000D3717" w:rsidRDefault="007E1B0B" w:rsidP="008D7069">
            <w:pPr>
              <w:rPr>
                <w:rFonts w:ascii="Times New Roman" w:hAnsi="Times New Roman" w:cs="Times New Roman"/>
                <w:sz w:val="24"/>
                <w:szCs w:val="24"/>
              </w:rPr>
            </w:pPr>
          </w:p>
        </w:tc>
        <w:tc>
          <w:tcPr>
            <w:tcW w:w="4163" w:type="dxa"/>
          </w:tcPr>
          <w:p w14:paraId="29EE3C7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ndikohet fitimi i mundshëm nga krimi?</w:t>
            </w:r>
          </w:p>
        </w:tc>
        <w:tc>
          <w:tcPr>
            <w:tcW w:w="810" w:type="dxa"/>
          </w:tcPr>
          <w:p w14:paraId="3391F88C" w14:textId="77777777" w:rsidR="007E1B0B" w:rsidRPr="000D3717" w:rsidRDefault="007E1B0B" w:rsidP="008D7069">
            <w:pPr>
              <w:rPr>
                <w:rFonts w:ascii="Times New Roman" w:hAnsi="Times New Roman" w:cs="Times New Roman"/>
                <w:sz w:val="24"/>
                <w:szCs w:val="24"/>
              </w:rPr>
            </w:pPr>
          </w:p>
        </w:tc>
        <w:tc>
          <w:tcPr>
            <w:tcW w:w="787" w:type="dxa"/>
          </w:tcPr>
          <w:p w14:paraId="01F8D480" w14:textId="19806A11" w:rsidR="007E1B0B" w:rsidRPr="000D3717" w:rsidRDefault="007E1B0B" w:rsidP="008D7069">
            <w:pPr>
              <w:rPr>
                <w:rFonts w:ascii="Times New Roman" w:hAnsi="Times New Roman" w:cs="Times New Roman"/>
                <w:sz w:val="24"/>
                <w:szCs w:val="24"/>
              </w:rPr>
            </w:pPr>
            <w:r w:rsidRPr="00895C03">
              <w:rPr>
                <w:rFonts w:ascii="Times New Roman" w:hAnsi="Times New Roman" w:cs="Times New Roman"/>
                <w:sz w:val="24"/>
                <w:szCs w:val="24"/>
              </w:rPr>
              <w:t>x</w:t>
            </w:r>
          </w:p>
        </w:tc>
        <w:tc>
          <w:tcPr>
            <w:tcW w:w="2340" w:type="dxa"/>
          </w:tcPr>
          <w:p w14:paraId="41FCEA79" w14:textId="77777777" w:rsidR="007E1B0B" w:rsidRPr="000D3717" w:rsidRDefault="007E1B0B" w:rsidP="008D7069">
            <w:pPr>
              <w:rPr>
                <w:rFonts w:ascii="Times New Roman" w:hAnsi="Times New Roman" w:cs="Times New Roman"/>
                <w:sz w:val="24"/>
                <w:szCs w:val="24"/>
              </w:rPr>
            </w:pPr>
          </w:p>
        </w:tc>
        <w:tc>
          <w:tcPr>
            <w:tcW w:w="1620" w:type="dxa"/>
          </w:tcPr>
          <w:p w14:paraId="1EBBF1BD" w14:textId="77777777" w:rsidR="007E1B0B" w:rsidRPr="000D3717" w:rsidRDefault="007E1B0B" w:rsidP="008D7069">
            <w:pPr>
              <w:rPr>
                <w:rFonts w:ascii="Times New Roman" w:hAnsi="Times New Roman" w:cs="Times New Roman"/>
                <w:sz w:val="24"/>
                <w:szCs w:val="24"/>
              </w:rPr>
            </w:pPr>
          </w:p>
        </w:tc>
        <w:tc>
          <w:tcPr>
            <w:tcW w:w="2610" w:type="dxa"/>
          </w:tcPr>
          <w:p w14:paraId="2B35989B" w14:textId="77777777" w:rsidR="007E1B0B" w:rsidRPr="000D3717" w:rsidRDefault="007E1B0B" w:rsidP="008D7069">
            <w:pPr>
              <w:rPr>
                <w:rFonts w:ascii="Times New Roman" w:hAnsi="Times New Roman" w:cs="Times New Roman"/>
                <w:sz w:val="24"/>
                <w:szCs w:val="24"/>
              </w:rPr>
            </w:pPr>
          </w:p>
        </w:tc>
      </w:tr>
      <w:tr w:rsidR="007E1B0B" w:rsidRPr="000D3717" w14:paraId="48124379" w14:textId="77777777" w:rsidTr="00595960">
        <w:tc>
          <w:tcPr>
            <w:tcW w:w="1710" w:type="dxa"/>
            <w:vMerge/>
          </w:tcPr>
          <w:p w14:paraId="38B71C60" w14:textId="77777777" w:rsidR="007E1B0B" w:rsidRPr="000D3717" w:rsidRDefault="007E1B0B" w:rsidP="008D7069">
            <w:pPr>
              <w:rPr>
                <w:rFonts w:ascii="Times New Roman" w:hAnsi="Times New Roman" w:cs="Times New Roman"/>
                <w:sz w:val="24"/>
                <w:szCs w:val="24"/>
              </w:rPr>
            </w:pPr>
          </w:p>
        </w:tc>
        <w:tc>
          <w:tcPr>
            <w:tcW w:w="4163" w:type="dxa"/>
          </w:tcPr>
          <w:p w14:paraId="63C8521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në nivelet e korrupsionit?</w:t>
            </w:r>
          </w:p>
        </w:tc>
        <w:tc>
          <w:tcPr>
            <w:tcW w:w="810" w:type="dxa"/>
          </w:tcPr>
          <w:p w14:paraId="1701ED36" w14:textId="77777777" w:rsidR="007E1B0B" w:rsidRPr="000D3717" w:rsidRDefault="007E1B0B" w:rsidP="008D7069">
            <w:pPr>
              <w:rPr>
                <w:rFonts w:ascii="Times New Roman" w:hAnsi="Times New Roman" w:cs="Times New Roman"/>
                <w:sz w:val="24"/>
                <w:szCs w:val="24"/>
              </w:rPr>
            </w:pPr>
          </w:p>
        </w:tc>
        <w:tc>
          <w:tcPr>
            <w:tcW w:w="787" w:type="dxa"/>
          </w:tcPr>
          <w:p w14:paraId="3FF5F494" w14:textId="1E86452D" w:rsidR="007E1B0B" w:rsidRPr="000D3717" w:rsidRDefault="007E1B0B" w:rsidP="008D7069">
            <w:pPr>
              <w:rPr>
                <w:rFonts w:ascii="Times New Roman" w:hAnsi="Times New Roman" w:cs="Times New Roman"/>
                <w:sz w:val="24"/>
                <w:szCs w:val="24"/>
              </w:rPr>
            </w:pPr>
            <w:r w:rsidRPr="00895C03">
              <w:rPr>
                <w:rFonts w:ascii="Times New Roman" w:hAnsi="Times New Roman" w:cs="Times New Roman"/>
                <w:sz w:val="24"/>
                <w:szCs w:val="24"/>
              </w:rPr>
              <w:t>x</w:t>
            </w:r>
          </w:p>
        </w:tc>
        <w:tc>
          <w:tcPr>
            <w:tcW w:w="2340" w:type="dxa"/>
          </w:tcPr>
          <w:p w14:paraId="59B4A1F0" w14:textId="77777777" w:rsidR="007E1B0B" w:rsidRPr="000D3717" w:rsidRDefault="007E1B0B" w:rsidP="008D7069">
            <w:pPr>
              <w:rPr>
                <w:rFonts w:ascii="Times New Roman" w:hAnsi="Times New Roman" w:cs="Times New Roman"/>
                <w:sz w:val="24"/>
                <w:szCs w:val="24"/>
              </w:rPr>
            </w:pPr>
          </w:p>
        </w:tc>
        <w:tc>
          <w:tcPr>
            <w:tcW w:w="1620" w:type="dxa"/>
          </w:tcPr>
          <w:p w14:paraId="01B55BAB" w14:textId="77777777" w:rsidR="007E1B0B" w:rsidRPr="000D3717" w:rsidRDefault="007E1B0B" w:rsidP="008D7069">
            <w:pPr>
              <w:rPr>
                <w:rFonts w:ascii="Times New Roman" w:hAnsi="Times New Roman" w:cs="Times New Roman"/>
                <w:sz w:val="24"/>
                <w:szCs w:val="24"/>
              </w:rPr>
            </w:pPr>
          </w:p>
        </w:tc>
        <w:tc>
          <w:tcPr>
            <w:tcW w:w="2610" w:type="dxa"/>
          </w:tcPr>
          <w:p w14:paraId="258A5CAE" w14:textId="77777777" w:rsidR="007E1B0B" w:rsidRPr="000D3717" w:rsidRDefault="007E1B0B" w:rsidP="008D7069">
            <w:pPr>
              <w:rPr>
                <w:rFonts w:ascii="Times New Roman" w:hAnsi="Times New Roman" w:cs="Times New Roman"/>
                <w:sz w:val="24"/>
                <w:szCs w:val="24"/>
              </w:rPr>
            </w:pPr>
          </w:p>
        </w:tc>
      </w:tr>
      <w:tr w:rsidR="007E1B0B" w:rsidRPr="000D3717" w14:paraId="60869737" w14:textId="77777777" w:rsidTr="00595960">
        <w:tc>
          <w:tcPr>
            <w:tcW w:w="1710" w:type="dxa"/>
            <w:vMerge/>
          </w:tcPr>
          <w:p w14:paraId="7FB355A4" w14:textId="77777777" w:rsidR="007E1B0B" w:rsidRPr="000D3717" w:rsidRDefault="007E1B0B" w:rsidP="008D7069">
            <w:pPr>
              <w:rPr>
                <w:rFonts w:ascii="Times New Roman" w:hAnsi="Times New Roman" w:cs="Times New Roman"/>
                <w:sz w:val="24"/>
                <w:szCs w:val="24"/>
              </w:rPr>
            </w:pPr>
          </w:p>
        </w:tc>
        <w:tc>
          <w:tcPr>
            <w:tcW w:w="4163" w:type="dxa"/>
          </w:tcPr>
          <w:p w14:paraId="1DE968D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ndikohet kapaciteti i zbatimit të ligjit?</w:t>
            </w:r>
          </w:p>
        </w:tc>
        <w:tc>
          <w:tcPr>
            <w:tcW w:w="810" w:type="dxa"/>
          </w:tcPr>
          <w:p w14:paraId="1E68E2E5" w14:textId="77777777" w:rsidR="007E1B0B" w:rsidRPr="000D3717" w:rsidRDefault="007E1B0B" w:rsidP="008D7069">
            <w:pPr>
              <w:rPr>
                <w:rFonts w:ascii="Times New Roman" w:hAnsi="Times New Roman" w:cs="Times New Roman"/>
                <w:sz w:val="24"/>
                <w:szCs w:val="24"/>
              </w:rPr>
            </w:pPr>
          </w:p>
        </w:tc>
        <w:tc>
          <w:tcPr>
            <w:tcW w:w="787" w:type="dxa"/>
          </w:tcPr>
          <w:p w14:paraId="38D5214A" w14:textId="6A9B8513" w:rsidR="007E1B0B" w:rsidRPr="000D3717" w:rsidRDefault="007E1B0B" w:rsidP="008D7069">
            <w:pPr>
              <w:rPr>
                <w:rFonts w:ascii="Times New Roman" w:hAnsi="Times New Roman" w:cs="Times New Roman"/>
                <w:sz w:val="24"/>
                <w:szCs w:val="24"/>
              </w:rPr>
            </w:pPr>
            <w:r w:rsidRPr="00895C03">
              <w:rPr>
                <w:rFonts w:ascii="Times New Roman" w:hAnsi="Times New Roman" w:cs="Times New Roman"/>
                <w:sz w:val="24"/>
                <w:szCs w:val="24"/>
              </w:rPr>
              <w:t>x</w:t>
            </w:r>
          </w:p>
        </w:tc>
        <w:tc>
          <w:tcPr>
            <w:tcW w:w="2340" w:type="dxa"/>
          </w:tcPr>
          <w:p w14:paraId="636AF344" w14:textId="77777777" w:rsidR="007E1B0B" w:rsidRPr="000D3717" w:rsidRDefault="007E1B0B" w:rsidP="008D7069">
            <w:pPr>
              <w:rPr>
                <w:rFonts w:ascii="Times New Roman" w:hAnsi="Times New Roman" w:cs="Times New Roman"/>
                <w:sz w:val="24"/>
                <w:szCs w:val="24"/>
              </w:rPr>
            </w:pPr>
          </w:p>
        </w:tc>
        <w:tc>
          <w:tcPr>
            <w:tcW w:w="1620" w:type="dxa"/>
          </w:tcPr>
          <w:p w14:paraId="19035A50" w14:textId="77777777" w:rsidR="007E1B0B" w:rsidRPr="000D3717" w:rsidRDefault="007E1B0B" w:rsidP="008D7069">
            <w:pPr>
              <w:rPr>
                <w:rFonts w:ascii="Times New Roman" w:hAnsi="Times New Roman" w:cs="Times New Roman"/>
                <w:sz w:val="24"/>
                <w:szCs w:val="24"/>
              </w:rPr>
            </w:pPr>
          </w:p>
        </w:tc>
        <w:tc>
          <w:tcPr>
            <w:tcW w:w="2610" w:type="dxa"/>
          </w:tcPr>
          <w:p w14:paraId="30AC640A" w14:textId="77777777" w:rsidR="007E1B0B" w:rsidRPr="000D3717" w:rsidRDefault="007E1B0B" w:rsidP="008D7069">
            <w:pPr>
              <w:rPr>
                <w:rFonts w:ascii="Times New Roman" w:hAnsi="Times New Roman" w:cs="Times New Roman"/>
                <w:sz w:val="24"/>
                <w:szCs w:val="24"/>
              </w:rPr>
            </w:pPr>
          </w:p>
        </w:tc>
      </w:tr>
      <w:tr w:rsidR="007E1B0B" w:rsidRPr="000D3717" w14:paraId="77665B90" w14:textId="77777777" w:rsidTr="00595960">
        <w:tc>
          <w:tcPr>
            <w:tcW w:w="1710" w:type="dxa"/>
            <w:vMerge/>
          </w:tcPr>
          <w:p w14:paraId="2664130A" w14:textId="77777777" w:rsidR="007E1B0B" w:rsidRPr="000D3717" w:rsidRDefault="007E1B0B" w:rsidP="008D7069">
            <w:pPr>
              <w:rPr>
                <w:rFonts w:ascii="Times New Roman" w:hAnsi="Times New Roman" w:cs="Times New Roman"/>
                <w:sz w:val="24"/>
                <w:szCs w:val="24"/>
              </w:rPr>
            </w:pPr>
          </w:p>
        </w:tc>
        <w:tc>
          <w:tcPr>
            <w:tcW w:w="4163" w:type="dxa"/>
          </w:tcPr>
          <w:p w14:paraId="683B3C59"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ka ndonjë efekt në të drejtat dhe sigurinë e viktimave të krimit?</w:t>
            </w:r>
          </w:p>
        </w:tc>
        <w:tc>
          <w:tcPr>
            <w:tcW w:w="810" w:type="dxa"/>
          </w:tcPr>
          <w:p w14:paraId="43871ABE" w14:textId="77777777" w:rsidR="007E1B0B" w:rsidRPr="000D3717" w:rsidRDefault="007E1B0B" w:rsidP="008D7069">
            <w:pPr>
              <w:rPr>
                <w:rFonts w:ascii="Times New Roman" w:hAnsi="Times New Roman" w:cs="Times New Roman"/>
                <w:sz w:val="24"/>
                <w:szCs w:val="24"/>
              </w:rPr>
            </w:pPr>
          </w:p>
        </w:tc>
        <w:tc>
          <w:tcPr>
            <w:tcW w:w="787" w:type="dxa"/>
          </w:tcPr>
          <w:p w14:paraId="3119C0E4" w14:textId="0A9FDC1F" w:rsidR="007E1B0B" w:rsidRPr="000D3717" w:rsidRDefault="007E1B0B" w:rsidP="008D7069">
            <w:pPr>
              <w:rPr>
                <w:rFonts w:ascii="Times New Roman" w:hAnsi="Times New Roman" w:cs="Times New Roman"/>
                <w:sz w:val="24"/>
                <w:szCs w:val="24"/>
              </w:rPr>
            </w:pPr>
            <w:r w:rsidRPr="00895C03">
              <w:rPr>
                <w:rFonts w:ascii="Times New Roman" w:hAnsi="Times New Roman" w:cs="Times New Roman"/>
                <w:sz w:val="24"/>
                <w:szCs w:val="24"/>
              </w:rPr>
              <w:t>x</w:t>
            </w:r>
          </w:p>
        </w:tc>
        <w:tc>
          <w:tcPr>
            <w:tcW w:w="2340" w:type="dxa"/>
          </w:tcPr>
          <w:p w14:paraId="4409CAD0" w14:textId="77777777" w:rsidR="007E1B0B" w:rsidRPr="000D3717" w:rsidRDefault="007E1B0B" w:rsidP="008D7069">
            <w:pPr>
              <w:rPr>
                <w:rFonts w:ascii="Times New Roman" w:hAnsi="Times New Roman" w:cs="Times New Roman"/>
                <w:sz w:val="24"/>
                <w:szCs w:val="24"/>
              </w:rPr>
            </w:pPr>
          </w:p>
        </w:tc>
        <w:tc>
          <w:tcPr>
            <w:tcW w:w="1620" w:type="dxa"/>
          </w:tcPr>
          <w:p w14:paraId="46B65B30" w14:textId="77777777" w:rsidR="007E1B0B" w:rsidRPr="000D3717" w:rsidRDefault="007E1B0B" w:rsidP="008D7069">
            <w:pPr>
              <w:rPr>
                <w:rFonts w:ascii="Times New Roman" w:hAnsi="Times New Roman" w:cs="Times New Roman"/>
                <w:sz w:val="24"/>
                <w:szCs w:val="24"/>
              </w:rPr>
            </w:pPr>
          </w:p>
        </w:tc>
        <w:tc>
          <w:tcPr>
            <w:tcW w:w="2610" w:type="dxa"/>
          </w:tcPr>
          <w:p w14:paraId="5CD5212B" w14:textId="77777777" w:rsidR="007E1B0B" w:rsidRPr="000D3717" w:rsidRDefault="007E1B0B" w:rsidP="008D7069">
            <w:pPr>
              <w:rPr>
                <w:rFonts w:ascii="Times New Roman" w:hAnsi="Times New Roman" w:cs="Times New Roman"/>
                <w:sz w:val="24"/>
                <w:szCs w:val="24"/>
              </w:rPr>
            </w:pPr>
          </w:p>
        </w:tc>
      </w:tr>
    </w:tbl>
    <w:p w14:paraId="2CD3A790" w14:textId="77777777" w:rsidR="00DF2517" w:rsidRPr="000D3717" w:rsidRDefault="00DF2517" w:rsidP="00DF2517">
      <w:pPr>
        <w:rPr>
          <w:rFonts w:ascii="Times New Roman" w:hAnsi="Times New Roman" w:cs="Times New Roman"/>
          <w:sz w:val="24"/>
          <w:szCs w:val="24"/>
        </w:rPr>
      </w:pPr>
      <w:r w:rsidRPr="000D3717">
        <w:rPr>
          <w:rFonts w:ascii="Times New Roman" w:hAnsi="Times New Roman" w:cs="Times New Roman"/>
          <w:sz w:val="24"/>
          <w:szCs w:val="24"/>
        </w:rPr>
        <w:br w:type="page"/>
      </w:r>
    </w:p>
    <w:p w14:paraId="4ED009B7" w14:textId="77777777" w:rsidR="00DF2517" w:rsidRPr="000D3717" w:rsidRDefault="00180BB0" w:rsidP="00B1424D">
      <w:pPr>
        <w:pStyle w:val="Heading1"/>
        <w:rPr>
          <w:rFonts w:ascii="Times New Roman" w:hAnsi="Times New Roman" w:cs="Times New Roman"/>
          <w:sz w:val="24"/>
          <w:szCs w:val="24"/>
        </w:rPr>
      </w:pPr>
      <w:bookmarkStart w:id="24" w:name="_Toc532388169"/>
      <w:r w:rsidRPr="000D3717">
        <w:rPr>
          <w:rFonts w:ascii="Times New Roman" w:hAnsi="Times New Roman" w:cs="Times New Roman"/>
          <w:sz w:val="24"/>
          <w:szCs w:val="24"/>
        </w:rPr>
        <w:lastRenderedPageBreak/>
        <w:t>Shtojca</w:t>
      </w:r>
      <w:r w:rsidR="00DF2517" w:rsidRPr="000D3717">
        <w:rPr>
          <w:rFonts w:ascii="Times New Roman" w:hAnsi="Times New Roman" w:cs="Times New Roman"/>
          <w:sz w:val="24"/>
          <w:szCs w:val="24"/>
        </w:rPr>
        <w:t xml:space="preserve"> </w:t>
      </w:r>
      <w:r w:rsidR="00B1424D" w:rsidRPr="000D3717">
        <w:rPr>
          <w:rFonts w:ascii="Times New Roman" w:hAnsi="Times New Roman" w:cs="Times New Roman"/>
          <w:sz w:val="24"/>
          <w:szCs w:val="24"/>
        </w:rPr>
        <w:t>3</w:t>
      </w:r>
      <w:r w:rsidR="00DF2517" w:rsidRPr="000D3717">
        <w:rPr>
          <w:rFonts w:ascii="Times New Roman" w:hAnsi="Times New Roman" w:cs="Times New Roman"/>
          <w:sz w:val="24"/>
          <w:szCs w:val="24"/>
        </w:rPr>
        <w:t xml:space="preserve">: </w:t>
      </w:r>
      <w:r w:rsidR="00162D8C" w:rsidRPr="000D3717">
        <w:rPr>
          <w:rFonts w:ascii="Times New Roman" w:hAnsi="Times New Roman" w:cs="Times New Roman"/>
          <w:sz w:val="24"/>
          <w:szCs w:val="24"/>
        </w:rPr>
        <w:t xml:space="preserve">Forma e vlerësimit për </w:t>
      </w:r>
      <w:r w:rsidR="00541488" w:rsidRPr="000D3717">
        <w:rPr>
          <w:rFonts w:ascii="Times New Roman" w:hAnsi="Times New Roman" w:cs="Times New Roman"/>
          <w:sz w:val="24"/>
          <w:szCs w:val="24"/>
        </w:rPr>
        <w:t>n</w:t>
      </w:r>
      <w:r w:rsidR="00162D8C" w:rsidRPr="000D3717">
        <w:rPr>
          <w:rFonts w:ascii="Times New Roman" w:hAnsi="Times New Roman" w:cs="Times New Roman"/>
          <w:sz w:val="24"/>
          <w:szCs w:val="24"/>
        </w:rPr>
        <w:t>dikim</w:t>
      </w:r>
      <w:r w:rsidR="00595960" w:rsidRPr="000D3717">
        <w:rPr>
          <w:rFonts w:ascii="Times New Roman" w:hAnsi="Times New Roman" w:cs="Times New Roman"/>
          <w:sz w:val="24"/>
          <w:szCs w:val="24"/>
        </w:rPr>
        <w:t>et</w:t>
      </w:r>
      <w:r w:rsidR="002D17EC" w:rsidRPr="000D3717">
        <w:rPr>
          <w:rFonts w:ascii="Times New Roman" w:hAnsi="Times New Roman" w:cs="Times New Roman"/>
          <w:sz w:val="24"/>
          <w:szCs w:val="24"/>
        </w:rPr>
        <w:t xml:space="preserve"> </w:t>
      </w:r>
      <w:r w:rsidR="00541488" w:rsidRPr="000D3717">
        <w:rPr>
          <w:rFonts w:ascii="Times New Roman" w:hAnsi="Times New Roman" w:cs="Times New Roman"/>
          <w:sz w:val="24"/>
          <w:szCs w:val="24"/>
        </w:rPr>
        <w:t>m</w:t>
      </w:r>
      <w:r w:rsidR="00162D8C" w:rsidRPr="000D3717">
        <w:rPr>
          <w:rFonts w:ascii="Times New Roman" w:hAnsi="Times New Roman" w:cs="Times New Roman"/>
          <w:sz w:val="24"/>
          <w:szCs w:val="24"/>
        </w:rPr>
        <w:t>jedisor</w:t>
      </w:r>
      <w:r w:rsidR="00595960" w:rsidRPr="000D3717">
        <w:rPr>
          <w:rFonts w:ascii="Times New Roman" w:hAnsi="Times New Roman" w:cs="Times New Roman"/>
          <w:sz w:val="24"/>
          <w:szCs w:val="24"/>
        </w:rPr>
        <w:t>e</w:t>
      </w:r>
      <w:bookmarkEnd w:id="24"/>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0D3717" w14:paraId="74A82071" w14:textId="77777777" w:rsidTr="009B4686">
        <w:tc>
          <w:tcPr>
            <w:tcW w:w="1710" w:type="dxa"/>
            <w:vMerge w:val="restart"/>
          </w:tcPr>
          <w:p w14:paraId="1E11997C" w14:textId="77777777" w:rsidR="004E6E7B" w:rsidRPr="000D3717" w:rsidRDefault="00BB18A5" w:rsidP="004E6E7B">
            <w:pPr>
              <w:rPr>
                <w:rFonts w:ascii="Times New Roman" w:hAnsi="Times New Roman" w:cs="Times New Roman"/>
                <w:b/>
                <w:sz w:val="24"/>
                <w:szCs w:val="24"/>
              </w:rPr>
            </w:pPr>
            <w:r w:rsidRPr="000D3717">
              <w:rPr>
                <w:rFonts w:ascii="Times New Roman" w:hAnsi="Times New Roman" w:cs="Times New Roman"/>
                <w:b/>
                <w:sz w:val="24"/>
                <w:szCs w:val="24"/>
              </w:rPr>
              <w:t>Kategoria e ndikimeve mjedisore</w:t>
            </w:r>
          </w:p>
        </w:tc>
        <w:tc>
          <w:tcPr>
            <w:tcW w:w="4050" w:type="dxa"/>
            <w:vMerge w:val="restart"/>
          </w:tcPr>
          <w:p w14:paraId="2439E205" w14:textId="77777777" w:rsidR="004E6E7B" w:rsidRPr="000D3717" w:rsidRDefault="00BB18A5" w:rsidP="004E6E7B">
            <w:pPr>
              <w:rPr>
                <w:rFonts w:ascii="Times New Roman" w:hAnsi="Times New Roman" w:cs="Times New Roman"/>
                <w:b/>
                <w:sz w:val="24"/>
                <w:szCs w:val="24"/>
              </w:rPr>
            </w:pPr>
            <w:r w:rsidRPr="000D3717">
              <w:rPr>
                <w:rFonts w:ascii="Times New Roman" w:hAnsi="Times New Roman" w:cs="Times New Roman"/>
                <w:b/>
                <w:sz w:val="24"/>
                <w:szCs w:val="24"/>
              </w:rPr>
              <w:t>Ndikimi kryesor</w:t>
            </w:r>
          </w:p>
        </w:tc>
        <w:tc>
          <w:tcPr>
            <w:tcW w:w="1710" w:type="dxa"/>
            <w:gridSpan w:val="2"/>
          </w:tcPr>
          <w:p w14:paraId="5BA0A797" w14:textId="77777777" w:rsidR="004E6E7B" w:rsidRPr="000D3717" w:rsidRDefault="00BB18A5" w:rsidP="004E6E7B">
            <w:pPr>
              <w:rPr>
                <w:rFonts w:ascii="Times New Roman" w:hAnsi="Times New Roman" w:cs="Times New Roman"/>
                <w:b/>
                <w:sz w:val="24"/>
                <w:szCs w:val="24"/>
              </w:rPr>
            </w:pPr>
            <w:r w:rsidRPr="000D3717">
              <w:rPr>
                <w:rFonts w:ascii="Times New Roman" w:hAnsi="Times New Roman" w:cs="Times New Roman"/>
                <w:b/>
                <w:sz w:val="24"/>
                <w:szCs w:val="24"/>
              </w:rPr>
              <w:t>A pritet të ndodhë ky ndikim</w:t>
            </w:r>
            <w:r w:rsidR="004E6E7B" w:rsidRPr="000D3717">
              <w:rPr>
                <w:rFonts w:ascii="Times New Roman" w:hAnsi="Times New Roman" w:cs="Times New Roman"/>
                <w:b/>
                <w:sz w:val="24"/>
                <w:szCs w:val="24"/>
              </w:rPr>
              <w:t>?</w:t>
            </w:r>
          </w:p>
        </w:tc>
        <w:tc>
          <w:tcPr>
            <w:tcW w:w="2430" w:type="dxa"/>
          </w:tcPr>
          <w:p w14:paraId="3D4A3A86"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Numri i organizatave, kompanive dhe/ose individëve të prekur</w:t>
            </w:r>
          </w:p>
        </w:tc>
        <w:tc>
          <w:tcPr>
            <w:tcW w:w="1530" w:type="dxa"/>
          </w:tcPr>
          <w:p w14:paraId="63B40B62"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Përfitimi i pritshëm ose kostoja e ndikimit</w:t>
            </w:r>
          </w:p>
        </w:tc>
        <w:tc>
          <w:tcPr>
            <w:tcW w:w="2610" w:type="dxa"/>
          </w:tcPr>
          <w:p w14:paraId="0D258D3D"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Niveli i preferuar i analizës</w:t>
            </w:r>
          </w:p>
        </w:tc>
      </w:tr>
      <w:tr w:rsidR="004E6E7B" w:rsidRPr="000D3717" w14:paraId="016B54EA" w14:textId="77777777" w:rsidTr="009B4686">
        <w:tc>
          <w:tcPr>
            <w:tcW w:w="1710" w:type="dxa"/>
            <w:vMerge/>
          </w:tcPr>
          <w:p w14:paraId="70F19399" w14:textId="77777777" w:rsidR="004E6E7B" w:rsidRPr="000D3717" w:rsidRDefault="004E6E7B" w:rsidP="004E6E7B">
            <w:pPr>
              <w:rPr>
                <w:rFonts w:ascii="Times New Roman" w:hAnsi="Times New Roman" w:cs="Times New Roman"/>
                <w:sz w:val="24"/>
                <w:szCs w:val="24"/>
              </w:rPr>
            </w:pPr>
          </w:p>
        </w:tc>
        <w:tc>
          <w:tcPr>
            <w:tcW w:w="4050" w:type="dxa"/>
            <w:vMerge/>
          </w:tcPr>
          <w:p w14:paraId="7EB83ADB" w14:textId="77777777" w:rsidR="004E6E7B" w:rsidRPr="000D3717" w:rsidRDefault="004E6E7B" w:rsidP="004E6E7B">
            <w:pPr>
              <w:rPr>
                <w:rFonts w:ascii="Times New Roman" w:hAnsi="Times New Roman" w:cs="Times New Roman"/>
                <w:sz w:val="24"/>
                <w:szCs w:val="24"/>
              </w:rPr>
            </w:pPr>
          </w:p>
        </w:tc>
        <w:tc>
          <w:tcPr>
            <w:tcW w:w="810" w:type="dxa"/>
          </w:tcPr>
          <w:p w14:paraId="7CB6E182" w14:textId="77777777" w:rsidR="004E6E7B" w:rsidRPr="000D3717" w:rsidRDefault="00BB18A5" w:rsidP="004E6E7B">
            <w:pPr>
              <w:rPr>
                <w:rFonts w:ascii="Times New Roman" w:hAnsi="Times New Roman" w:cs="Times New Roman"/>
                <w:b/>
                <w:sz w:val="24"/>
                <w:szCs w:val="24"/>
              </w:rPr>
            </w:pPr>
            <w:r w:rsidRPr="000D3717">
              <w:rPr>
                <w:rFonts w:ascii="Times New Roman" w:hAnsi="Times New Roman" w:cs="Times New Roman"/>
                <w:b/>
                <w:sz w:val="24"/>
                <w:szCs w:val="24"/>
              </w:rPr>
              <w:t>Po</w:t>
            </w:r>
          </w:p>
        </w:tc>
        <w:tc>
          <w:tcPr>
            <w:tcW w:w="900" w:type="dxa"/>
          </w:tcPr>
          <w:p w14:paraId="0EF64578" w14:textId="77777777" w:rsidR="004E6E7B" w:rsidRPr="000D3717" w:rsidRDefault="00BB18A5" w:rsidP="004E6E7B">
            <w:pPr>
              <w:rPr>
                <w:rFonts w:ascii="Times New Roman" w:hAnsi="Times New Roman" w:cs="Times New Roman"/>
                <w:b/>
                <w:sz w:val="24"/>
                <w:szCs w:val="24"/>
              </w:rPr>
            </w:pPr>
            <w:r w:rsidRPr="000D3717">
              <w:rPr>
                <w:rFonts w:ascii="Times New Roman" w:hAnsi="Times New Roman" w:cs="Times New Roman"/>
                <w:b/>
                <w:sz w:val="24"/>
                <w:szCs w:val="24"/>
              </w:rPr>
              <w:t>J</w:t>
            </w:r>
            <w:r w:rsidR="004E6E7B" w:rsidRPr="000D3717">
              <w:rPr>
                <w:rFonts w:ascii="Times New Roman" w:hAnsi="Times New Roman" w:cs="Times New Roman"/>
                <w:b/>
                <w:sz w:val="24"/>
                <w:szCs w:val="24"/>
              </w:rPr>
              <w:t>o</w:t>
            </w:r>
          </w:p>
        </w:tc>
        <w:tc>
          <w:tcPr>
            <w:tcW w:w="2430" w:type="dxa"/>
          </w:tcPr>
          <w:p w14:paraId="18D3CF35"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1530" w:type="dxa"/>
          </w:tcPr>
          <w:p w14:paraId="10C0EA17"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2610" w:type="dxa"/>
          </w:tcPr>
          <w:p w14:paraId="53E132EB" w14:textId="77777777" w:rsidR="004E6E7B" w:rsidRPr="000D3717" w:rsidRDefault="004E6E7B" w:rsidP="004E6E7B">
            <w:pPr>
              <w:rPr>
                <w:rFonts w:ascii="Times New Roman" w:hAnsi="Times New Roman" w:cs="Times New Roman"/>
                <w:b/>
                <w:sz w:val="24"/>
                <w:szCs w:val="24"/>
              </w:rPr>
            </w:pPr>
          </w:p>
        </w:tc>
      </w:tr>
      <w:tr w:rsidR="007E1B0B" w:rsidRPr="000D3717" w14:paraId="38598315" w14:textId="77777777" w:rsidTr="009B4686">
        <w:tc>
          <w:tcPr>
            <w:tcW w:w="1710" w:type="dxa"/>
            <w:vMerge w:val="restart"/>
          </w:tcPr>
          <w:p w14:paraId="0DA54BE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Klima dhe mjedisi i qëndrueshëm</w:t>
            </w:r>
          </w:p>
        </w:tc>
        <w:tc>
          <w:tcPr>
            <w:tcW w:w="4050" w:type="dxa"/>
          </w:tcPr>
          <w:p w14:paraId="195EC8C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emetimin e gazrave serë (</w:t>
            </w:r>
            <w:proofErr w:type="spellStart"/>
            <w:r w:rsidRPr="000D3717">
              <w:rPr>
                <w:rFonts w:ascii="Times New Roman" w:hAnsi="Times New Roman" w:cs="Times New Roman"/>
                <w:sz w:val="24"/>
                <w:szCs w:val="24"/>
              </w:rPr>
              <w:t>dioksid</w:t>
            </w:r>
            <w:proofErr w:type="spellEnd"/>
            <w:r w:rsidRPr="000D3717">
              <w:rPr>
                <w:rFonts w:ascii="Times New Roman" w:hAnsi="Times New Roman" w:cs="Times New Roman"/>
                <w:sz w:val="24"/>
                <w:szCs w:val="24"/>
              </w:rPr>
              <w:t xml:space="preserve"> karboni, metani etj.)? </w:t>
            </w:r>
          </w:p>
        </w:tc>
        <w:tc>
          <w:tcPr>
            <w:tcW w:w="810" w:type="dxa"/>
          </w:tcPr>
          <w:p w14:paraId="644914B4" w14:textId="77777777" w:rsidR="007E1B0B" w:rsidRPr="000D3717" w:rsidRDefault="007E1B0B" w:rsidP="008D7069">
            <w:pPr>
              <w:rPr>
                <w:rFonts w:ascii="Times New Roman" w:hAnsi="Times New Roman" w:cs="Times New Roman"/>
                <w:sz w:val="24"/>
                <w:szCs w:val="24"/>
              </w:rPr>
            </w:pPr>
          </w:p>
        </w:tc>
        <w:tc>
          <w:tcPr>
            <w:tcW w:w="900" w:type="dxa"/>
          </w:tcPr>
          <w:p w14:paraId="62AC2B7F" w14:textId="3527AD4D"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020D9117" w14:textId="77777777" w:rsidR="007E1B0B" w:rsidRPr="000D3717" w:rsidRDefault="007E1B0B" w:rsidP="008D7069">
            <w:pPr>
              <w:rPr>
                <w:rFonts w:ascii="Times New Roman" w:hAnsi="Times New Roman" w:cs="Times New Roman"/>
                <w:sz w:val="24"/>
                <w:szCs w:val="24"/>
              </w:rPr>
            </w:pPr>
          </w:p>
        </w:tc>
        <w:tc>
          <w:tcPr>
            <w:tcW w:w="1530" w:type="dxa"/>
          </w:tcPr>
          <w:p w14:paraId="5D83CCB0" w14:textId="77777777" w:rsidR="007E1B0B" w:rsidRPr="000D3717" w:rsidRDefault="007E1B0B" w:rsidP="008D7069">
            <w:pPr>
              <w:rPr>
                <w:rFonts w:ascii="Times New Roman" w:hAnsi="Times New Roman" w:cs="Times New Roman"/>
                <w:sz w:val="24"/>
                <w:szCs w:val="24"/>
              </w:rPr>
            </w:pPr>
          </w:p>
        </w:tc>
        <w:tc>
          <w:tcPr>
            <w:tcW w:w="2610" w:type="dxa"/>
          </w:tcPr>
          <w:p w14:paraId="245051A9" w14:textId="77777777" w:rsidR="007E1B0B" w:rsidRPr="000D3717" w:rsidRDefault="007E1B0B" w:rsidP="008D7069">
            <w:pPr>
              <w:rPr>
                <w:rFonts w:ascii="Times New Roman" w:hAnsi="Times New Roman" w:cs="Times New Roman"/>
                <w:sz w:val="24"/>
                <w:szCs w:val="24"/>
              </w:rPr>
            </w:pPr>
          </w:p>
        </w:tc>
      </w:tr>
      <w:tr w:rsidR="007E1B0B" w:rsidRPr="000D3717" w14:paraId="73421BA1" w14:textId="77777777" w:rsidTr="009B4686">
        <w:tc>
          <w:tcPr>
            <w:tcW w:w="1710" w:type="dxa"/>
            <w:vMerge/>
          </w:tcPr>
          <w:p w14:paraId="5D06896E" w14:textId="77777777" w:rsidR="007E1B0B" w:rsidRPr="000D3717" w:rsidRDefault="007E1B0B" w:rsidP="008D7069">
            <w:pPr>
              <w:rPr>
                <w:rFonts w:ascii="Times New Roman" w:hAnsi="Times New Roman" w:cs="Times New Roman"/>
                <w:sz w:val="24"/>
                <w:szCs w:val="24"/>
              </w:rPr>
            </w:pPr>
          </w:p>
        </w:tc>
        <w:tc>
          <w:tcPr>
            <w:tcW w:w="4050" w:type="dxa"/>
          </w:tcPr>
          <w:p w14:paraId="5ED321C4" w14:textId="77777777" w:rsidR="007E1B0B" w:rsidRPr="000D3717" w:rsidRDefault="007E1B0B" w:rsidP="00BB18A5">
            <w:pPr>
              <w:rPr>
                <w:rFonts w:ascii="Times New Roman" w:hAnsi="Times New Roman" w:cs="Times New Roman"/>
                <w:sz w:val="24"/>
                <w:szCs w:val="24"/>
              </w:rPr>
            </w:pPr>
            <w:r w:rsidRPr="000D3717">
              <w:rPr>
                <w:rFonts w:ascii="Times New Roman" w:hAnsi="Times New Roman" w:cs="Times New Roman"/>
                <w:sz w:val="24"/>
                <w:szCs w:val="24"/>
              </w:rPr>
              <w:t>A do të ndikohet konsumi i karburanteve?</w:t>
            </w:r>
          </w:p>
        </w:tc>
        <w:tc>
          <w:tcPr>
            <w:tcW w:w="810" w:type="dxa"/>
          </w:tcPr>
          <w:p w14:paraId="64C3501E" w14:textId="77777777" w:rsidR="007E1B0B" w:rsidRPr="000D3717" w:rsidRDefault="007E1B0B" w:rsidP="008D7069">
            <w:pPr>
              <w:rPr>
                <w:rFonts w:ascii="Times New Roman" w:hAnsi="Times New Roman" w:cs="Times New Roman"/>
                <w:sz w:val="24"/>
                <w:szCs w:val="24"/>
              </w:rPr>
            </w:pPr>
          </w:p>
        </w:tc>
        <w:tc>
          <w:tcPr>
            <w:tcW w:w="900" w:type="dxa"/>
          </w:tcPr>
          <w:p w14:paraId="33E568AA" w14:textId="2BF8A4F8"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02ED0C77" w14:textId="77777777" w:rsidR="007E1B0B" w:rsidRPr="000D3717" w:rsidRDefault="007E1B0B" w:rsidP="008D7069">
            <w:pPr>
              <w:rPr>
                <w:rFonts w:ascii="Times New Roman" w:hAnsi="Times New Roman" w:cs="Times New Roman"/>
                <w:sz w:val="24"/>
                <w:szCs w:val="24"/>
              </w:rPr>
            </w:pPr>
          </w:p>
        </w:tc>
        <w:tc>
          <w:tcPr>
            <w:tcW w:w="1530" w:type="dxa"/>
          </w:tcPr>
          <w:p w14:paraId="5B03E860" w14:textId="77777777" w:rsidR="007E1B0B" w:rsidRPr="000D3717" w:rsidRDefault="007E1B0B" w:rsidP="008D7069">
            <w:pPr>
              <w:rPr>
                <w:rFonts w:ascii="Times New Roman" w:hAnsi="Times New Roman" w:cs="Times New Roman"/>
                <w:sz w:val="24"/>
                <w:szCs w:val="24"/>
              </w:rPr>
            </w:pPr>
          </w:p>
        </w:tc>
        <w:tc>
          <w:tcPr>
            <w:tcW w:w="2610" w:type="dxa"/>
          </w:tcPr>
          <w:p w14:paraId="3FF69F17" w14:textId="77777777" w:rsidR="007E1B0B" w:rsidRPr="000D3717" w:rsidRDefault="007E1B0B" w:rsidP="008D7069">
            <w:pPr>
              <w:rPr>
                <w:rFonts w:ascii="Times New Roman" w:hAnsi="Times New Roman" w:cs="Times New Roman"/>
                <w:sz w:val="24"/>
                <w:szCs w:val="24"/>
              </w:rPr>
            </w:pPr>
          </w:p>
        </w:tc>
      </w:tr>
      <w:tr w:rsidR="007E1B0B" w:rsidRPr="000D3717" w14:paraId="5749340C" w14:textId="77777777" w:rsidTr="009B4686">
        <w:tc>
          <w:tcPr>
            <w:tcW w:w="1710" w:type="dxa"/>
            <w:vMerge/>
          </w:tcPr>
          <w:p w14:paraId="4A2AED5E" w14:textId="77777777" w:rsidR="007E1B0B" w:rsidRPr="000D3717" w:rsidRDefault="007E1B0B" w:rsidP="008D7069">
            <w:pPr>
              <w:rPr>
                <w:rFonts w:ascii="Times New Roman" w:hAnsi="Times New Roman" w:cs="Times New Roman"/>
                <w:sz w:val="24"/>
                <w:szCs w:val="24"/>
              </w:rPr>
            </w:pPr>
          </w:p>
        </w:tc>
        <w:tc>
          <w:tcPr>
            <w:tcW w:w="4050" w:type="dxa"/>
          </w:tcPr>
          <w:p w14:paraId="6BE10EF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ndryshojë shumëllojshmëria e burimeve që përdoren për prodhimin e energjisë?</w:t>
            </w:r>
          </w:p>
        </w:tc>
        <w:tc>
          <w:tcPr>
            <w:tcW w:w="810" w:type="dxa"/>
          </w:tcPr>
          <w:p w14:paraId="3408993D" w14:textId="77777777" w:rsidR="007E1B0B" w:rsidRPr="000D3717" w:rsidRDefault="007E1B0B" w:rsidP="008D7069">
            <w:pPr>
              <w:rPr>
                <w:rFonts w:ascii="Times New Roman" w:hAnsi="Times New Roman" w:cs="Times New Roman"/>
                <w:sz w:val="24"/>
                <w:szCs w:val="24"/>
              </w:rPr>
            </w:pPr>
          </w:p>
        </w:tc>
        <w:tc>
          <w:tcPr>
            <w:tcW w:w="900" w:type="dxa"/>
          </w:tcPr>
          <w:p w14:paraId="48EB7BEC" w14:textId="58E7425A"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0CFDE082" w14:textId="77777777" w:rsidR="007E1B0B" w:rsidRPr="000D3717" w:rsidRDefault="007E1B0B" w:rsidP="008D7069">
            <w:pPr>
              <w:rPr>
                <w:rFonts w:ascii="Times New Roman" w:hAnsi="Times New Roman" w:cs="Times New Roman"/>
                <w:sz w:val="24"/>
                <w:szCs w:val="24"/>
              </w:rPr>
            </w:pPr>
          </w:p>
        </w:tc>
        <w:tc>
          <w:tcPr>
            <w:tcW w:w="1530" w:type="dxa"/>
          </w:tcPr>
          <w:p w14:paraId="029A918E" w14:textId="77777777" w:rsidR="007E1B0B" w:rsidRPr="000D3717" w:rsidRDefault="007E1B0B" w:rsidP="008D7069">
            <w:pPr>
              <w:rPr>
                <w:rFonts w:ascii="Times New Roman" w:hAnsi="Times New Roman" w:cs="Times New Roman"/>
                <w:sz w:val="24"/>
                <w:szCs w:val="24"/>
              </w:rPr>
            </w:pPr>
          </w:p>
        </w:tc>
        <w:tc>
          <w:tcPr>
            <w:tcW w:w="2610" w:type="dxa"/>
          </w:tcPr>
          <w:p w14:paraId="7ECE9C25" w14:textId="77777777" w:rsidR="007E1B0B" w:rsidRPr="000D3717" w:rsidRDefault="007E1B0B" w:rsidP="008D7069">
            <w:pPr>
              <w:rPr>
                <w:rFonts w:ascii="Times New Roman" w:hAnsi="Times New Roman" w:cs="Times New Roman"/>
                <w:sz w:val="24"/>
                <w:szCs w:val="24"/>
              </w:rPr>
            </w:pPr>
          </w:p>
        </w:tc>
      </w:tr>
      <w:tr w:rsidR="007E1B0B" w:rsidRPr="000D3717" w14:paraId="69B56BDC" w14:textId="77777777" w:rsidTr="009B4686">
        <w:tc>
          <w:tcPr>
            <w:tcW w:w="1710" w:type="dxa"/>
            <w:vMerge/>
          </w:tcPr>
          <w:p w14:paraId="2E5EA3D3" w14:textId="77777777" w:rsidR="007E1B0B" w:rsidRPr="000D3717" w:rsidRDefault="007E1B0B" w:rsidP="008D7069">
            <w:pPr>
              <w:rPr>
                <w:rFonts w:ascii="Times New Roman" w:hAnsi="Times New Roman" w:cs="Times New Roman"/>
                <w:sz w:val="24"/>
                <w:szCs w:val="24"/>
              </w:rPr>
            </w:pPr>
          </w:p>
        </w:tc>
        <w:tc>
          <w:tcPr>
            <w:tcW w:w="4050" w:type="dxa"/>
          </w:tcPr>
          <w:p w14:paraId="7FBFABF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ndryshim në çmim për produktet miqësore ndaj mjedisit?</w:t>
            </w:r>
          </w:p>
        </w:tc>
        <w:tc>
          <w:tcPr>
            <w:tcW w:w="810" w:type="dxa"/>
          </w:tcPr>
          <w:p w14:paraId="77352C85" w14:textId="77777777" w:rsidR="007E1B0B" w:rsidRPr="000D3717" w:rsidRDefault="007E1B0B" w:rsidP="008D7069">
            <w:pPr>
              <w:rPr>
                <w:rFonts w:ascii="Times New Roman" w:hAnsi="Times New Roman" w:cs="Times New Roman"/>
                <w:sz w:val="24"/>
                <w:szCs w:val="24"/>
              </w:rPr>
            </w:pPr>
          </w:p>
        </w:tc>
        <w:tc>
          <w:tcPr>
            <w:tcW w:w="900" w:type="dxa"/>
          </w:tcPr>
          <w:p w14:paraId="4DF9EC04" w14:textId="273E815A"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07E03F7B" w14:textId="77777777" w:rsidR="007E1B0B" w:rsidRPr="000D3717" w:rsidRDefault="007E1B0B" w:rsidP="008D7069">
            <w:pPr>
              <w:rPr>
                <w:rFonts w:ascii="Times New Roman" w:hAnsi="Times New Roman" w:cs="Times New Roman"/>
                <w:sz w:val="24"/>
                <w:szCs w:val="24"/>
              </w:rPr>
            </w:pPr>
          </w:p>
        </w:tc>
        <w:tc>
          <w:tcPr>
            <w:tcW w:w="1530" w:type="dxa"/>
          </w:tcPr>
          <w:p w14:paraId="40F005FC" w14:textId="77777777" w:rsidR="007E1B0B" w:rsidRPr="000D3717" w:rsidRDefault="007E1B0B" w:rsidP="008D7069">
            <w:pPr>
              <w:rPr>
                <w:rFonts w:ascii="Times New Roman" w:hAnsi="Times New Roman" w:cs="Times New Roman"/>
                <w:sz w:val="24"/>
                <w:szCs w:val="24"/>
              </w:rPr>
            </w:pPr>
          </w:p>
        </w:tc>
        <w:tc>
          <w:tcPr>
            <w:tcW w:w="2610" w:type="dxa"/>
          </w:tcPr>
          <w:p w14:paraId="53226625" w14:textId="77777777" w:rsidR="007E1B0B" w:rsidRPr="000D3717" w:rsidRDefault="007E1B0B" w:rsidP="008D7069">
            <w:pPr>
              <w:rPr>
                <w:rFonts w:ascii="Times New Roman" w:hAnsi="Times New Roman" w:cs="Times New Roman"/>
                <w:sz w:val="24"/>
                <w:szCs w:val="24"/>
              </w:rPr>
            </w:pPr>
          </w:p>
        </w:tc>
      </w:tr>
      <w:tr w:rsidR="007E1B0B" w:rsidRPr="000D3717" w14:paraId="7354AC88" w14:textId="77777777" w:rsidTr="009B4686">
        <w:tc>
          <w:tcPr>
            <w:tcW w:w="1710" w:type="dxa"/>
            <w:vMerge/>
          </w:tcPr>
          <w:p w14:paraId="6FF7CFA1" w14:textId="77777777" w:rsidR="007E1B0B" w:rsidRPr="000D3717" w:rsidRDefault="007E1B0B" w:rsidP="008D7069">
            <w:pPr>
              <w:rPr>
                <w:rFonts w:ascii="Times New Roman" w:hAnsi="Times New Roman" w:cs="Times New Roman"/>
                <w:sz w:val="24"/>
                <w:szCs w:val="24"/>
              </w:rPr>
            </w:pPr>
          </w:p>
        </w:tc>
        <w:tc>
          <w:tcPr>
            <w:tcW w:w="4050" w:type="dxa"/>
          </w:tcPr>
          <w:p w14:paraId="10E5453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bëhen më pak ndotëse disa aktivitete të caktuara?</w:t>
            </w:r>
          </w:p>
        </w:tc>
        <w:tc>
          <w:tcPr>
            <w:tcW w:w="810" w:type="dxa"/>
          </w:tcPr>
          <w:p w14:paraId="469DB815" w14:textId="77777777" w:rsidR="007E1B0B" w:rsidRPr="000D3717" w:rsidRDefault="007E1B0B" w:rsidP="008D7069">
            <w:pPr>
              <w:rPr>
                <w:rFonts w:ascii="Times New Roman" w:hAnsi="Times New Roman" w:cs="Times New Roman"/>
                <w:sz w:val="24"/>
                <w:szCs w:val="24"/>
              </w:rPr>
            </w:pPr>
          </w:p>
        </w:tc>
        <w:tc>
          <w:tcPr>
            <w:tcW w:w="900" w:type="dxa"/>
          </w:tcPr>
          <w:p w14:paraId="2BABDAB1" w14:textId="0EFAF523"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7AF182B4" w14:textId="77777777" w:rsidR="007E1B0B" w:rsidRPr="000D3717" w:rsidRDefault="007E1B0B" w:rsidP="008D7069">
            <w:pPr>
              <w:rPr>
                <w:rFonts w:ascii="Times New Roman" w:hAnsi="Times New Roman" w:cs="Times New Roman"/>
                <w:sz w:val="24"/>
                <w:szCs w:val="24"/>
              </w:rPr>
            </w:pPr>
          </w:p>
        </w:tc>
        <w:tc>
          <w:tcPr>
            <w:tcW w:w="1530" w:type="dxa"/>
          </w:tcPr>
          <w:p w14:paraId="1E301B65" w14:textId="77777777" w:rsidR="007E1B0B" w:rsidRPr="000D3717" w:rsidRDefault="007E1B0B" w:rsidP="008D7069">
            <w:pPr>
              <w:rPr>
                <w:rFonts w:ascii="Times New Roman" w:hAnsi="Times New Roman" w:cs="Times New Roman"/>
                <w:sz w:val="24"/>
                <w:szCs w:val="24"/>
              </w:rPr>
            </w:pPr>
          </w:p>
        </w:tc>
        <w:tc>
          <w:tcPr>
            <w:tcW w:w="2610" w:type="dxa"/>
          </w:tcPr>
          <w:p w14:paraId="3697A9AA" w14:textId="77777777" w:rsidR="007E1B0B" w:rsidRPr="000D3717" w:rsidRDefault="007E1B0B" w:rsidP="008D7069">
            <w:pPr>
              <w:rPr>
                <w:rFonts w:ascii="Times New Roman" w:hAnsi="Times New Roman" w:cs="Times New Roman"/>
                <w:sz w:val="24"/>
                <w:szCs w:val="24"/>
              </w:rPr>
            </w:pPr>
          </w:p>
        </w:tc>
      </w:tr>
      <w:tr w:rsidR="007E1B0B" w:rsidRPr="000D3717" w14:paraId="4EED2F5A" w14:textId="77777777" w:rsidTr="009B4686">
        <w:tc>
          <w:tcPr>
            <w:tcW w:w="1710" w:type="dxa"/>
          </w:tcPr>
          <w:p w14:paraId="126BCC1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Cilësia e ajrit</w:t>
            </w:r>
          </w:p>
        </w:tc>
        <w:tc>
          <w:tcPr>
            <w:tcW w:w="4050" w:type="dxa"/>
          </w:tcPr>
          <w:p w14:paraId="4C80D9A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emetimin e ndotësve të ajrit?</w:t>
            </w:r>
          </w:p>
        </w:tc>
        <w:tc>
          <w:tcPr>
            <w:tcW w:w="810" w:type="dxa"/>
          </w:tcPr>
          <w:p w14:paraId="062BCDD1" w14:textId="77777777" w:rsidR="007E1B0B" w:rsidRPr="000D3717" w:rsidRDefault="007E1B0B" w:rsidP="008D7069">
            <w:pPr>
              <w:rPr>
                <w:rFonts w:ascii="Times New Roman" w:hAnsi="Times New Roman" w:cs="Times New Roman"/>
                <w:sz w:val="24"/>
                <w:szCs w:val="24"/>
              </w:rPr>
            </w:pPr>
          </w:p>
        </w:tc>
        <w:tc>
          <w:tcPr>
            <w:tcW w:w="900" w:type="dxa"/>
          </w:tcPr>
          <w:p w14:paraId="59838A17" w14:textId="707324D5"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265572EB" w14:textId="77777777" w:rsidR="007E1B0B" w:rsidRPr="000D3717" w:rsidRDefault="007E1B0B" w:rsidP="008D7069">
            <w:pPr>
              <w:rPr>
                <w:rFonts w:ascii="Times New Roman" w:hAnsi="Times New Roman" w:cs="Times New Roman"/>
                <w:sz w:val="24"/>
                <w:szCs w:val="24"/>
              </w:rPr>
            </w:pPr>
          </w:p>
        </w:tc>
        <w:tc>
          <w:tcPr>
            <w:tcW w:w="1530" w:type="dxa"/>
          </w:tcPr>
          <w:p w14:paraId="37265DB0" w14:textId="77777777" w:rsidR="007E1B0B" w:rsidRPr="000D3717" w:rsidRDefault="007E1B0B" w:rsidP="008D7069">
            <w:pPr>
              <w:rPr>
                <w:rFonts w:ascii="Times New Roman" w:hAnsi="Times New Roman" w:cs="Times New Roman"/>
                <w:sz w:val="24"/>
                <w:szCs w:val="24"/>
              </w:rPr>
            </w:pPr>
          </w:p>
        </w:tc>
        <w:tc>
          <w:tcPr>
            <w:tcW w:w="2610" w:type="dxa"/>
          </w:tcPr>
          <w:p w14:paraId="55E50B3E" w14:textId="77777777" w:rsidR="007E1B0B" w:rsidRPr="000D3717" w:rsidRDefault="007E1B0B" w:rsidP="008D7069">
            <w:pPr>
              <w:rPr>
                <w:rFonts w:ascii="Times New Roman" w:hAnsi="Times New Roman" w:cs="Times New Roman"/>
                <w:sz w:val="24"/>
                <w:szCs w:val="24"/>
              </w:rPr>
            </w:pPr>
          </w:p>
        </w:tc>
      </w:tr>
      <w:tr w:rsidR="007E1B0B" w:rsidRPr="000D3717" w14:paraId="306B4BA5" w14:textId="77777777" w:rsidTr="009B4686">
        <w:tc>
          <w:tcPr>
            <w:tcW w:w="1710" w:type="dxa"/>
            <w:vMerge w:val="restart"/>
          </w:tcPr>
          <w:p w14:paraId="7C3E63C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Cilësia e ujit</w:t>
            </w:r>
          </w:p>
        </w:tc>
        <w:tc>
          <w:tcPr>
            <w:tcW w:w="4050" w:type="dxa"/>
          </w:tcPr>
          <w:p w14:paraId="0086286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cilësinë e ujërave të ëmbla?</w:t>
            </w:r>
          </w:p>
        </w:tc>
        <w:tc>
          <w:tcPr>
            <w:tcW w:w="810" w:type="dxa"/>
          </w:tcPr>
          <w:p w14:paraId="35C8B4EF" w14:textId="77777777" w:rsidR="007E1B0B" w:rsidRPr="000D3717" w:rsidRDefault="007E1B0B" w:rsidP="008D7069">
            <w:pPr>
              <w:rPr>
                <w:rFonts w:ascii="Times New Roman" w:hAnsi="Times New Roman" w:cs="Times New Roman"/>
                <w:sz w:val="24"/>
                <w:szCs w:val="24"/>
              </w:rPr>
            </w:pPr>
          </w:p>
        </w:tc>
        <w:tc>
          <w:tcPr>
            <w:tcW w:w="900" w:type="dxa"/>
          </w:tcPr>
          <w:p w14:paraId="6FD21388" w14:textId="496975E1"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6944447C" w14:textId="77777777" w:rsidR="007E1B0B" w:rsidRPr="000D3717" w:rsidRDefault="007E1B0B" w:rsidP="008D7069">
            <w:pPr>
              <w:rPr>
                <w:rFonts w:ascii="Times New Roman" w:hAnsi="Times New Roman" w:cs="Times New Roman"/>
                <w:sz w:val="24"/>
                <w:szCs w:val="24"/>
              </w:rPr>
            </w:pPr>
          </w:p>
        </w:tc>
        <w:tc>
          <w:tcPr>
            <w:tcW w:w="1530" w:type="dxa"/>
          </w:tcPr>
          <w:p w14:paraId="7B044174" w14:textId="77777777" w:rsidR="007E1B0B" w:rsidRPr="000D3717" w:rsidRDefault="007E1B0B" w:rsidP="008D7069">
            <w:pPr>
              <w:rPr>
                <w:rFonts w:ascii="Times New Roman" w:hAnsi="Times New Roman" w:cs="Times New Roman"/>
                <w:sz w:val="24"/>
                <w:szCs w:val="24"/>
              </w:rPr>
            </w:pPr>
          </w:p>
        </w:tc>
        <w:tc>
          <w:tcPr>
            <w:tcW w:w="2610" w:type="dxa"/>
          </w:tcPr>
          <w:p w14:paraId="6D4FFB5F" w14:textId="77777777" w:rsidR="007E1B0B" w:rsidRPr="000D3717" w:rsidRDefault="007E1B0B" w:rsidP="008D7069">
            <w:pPr>
              <w:rPr>
                <w:rFonts w:ascii="Times New Roman" w:hAnsi="Times New Roman" w:cs="Times New Roman"/>
                <w:sz w:val="24"/>
                <w:szCs w:val="24"/>
              </w:rPr>
            </w:pPr>
          </w:p>
        </w:tc>
      </w:tr>
      <w:tr w:rsidR="007E1B0B" w:rsidRPr="000D3717" w14:paraId="2FDA660B" w14:textId="77777777" w:rsidTr="009B4686">
        <w:tc>
          <w:tcPr>
            <w:tcW w:w="1710" w:type="dxa"/>
            <w:vMerge/>
          </w:tcPr>
          <w:p w14:paraId="1F41D495" w14:textId="77777777" w:rsidR="007E1B0B" w:rsidRPr="000D3717" w:rsidRDefault="007E1B0B" w:rsidP="008D7069">
            <w:pPr>
              <w:rPr>
                <w:rFonts w:ascii="Times New Roman" w:hAnsi="Times New Roman" w:cs="Times New Roman"/>
                <w:sz w:val="24"/>
                <w:szCs w:val="24"/>
              </w:rPr>
            </w:pPr>
          </w:p>
        </w:tc>
        <w:tc>
          <w:tcPr>
            <w:tcW w:w="4050" w:type="dxa"/>
          </w:tcPr>
          <w:p w14:paraId="3B85113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cilësinë e ujërave nëntokësore?</w:t>
            </w:r>
          </w:p>
        </w:tc>
        <w:tc>
          <w:tcPr>
            <w:tcW w:w="810" w:type="dxa"/>
          </w:tcPr>
          <w:p w14:paraId="7AF2A147" w14:textId="77777777" w:rsidR="007E1B0B" w:rsidRPr="000D3717" w:rsidRDefault="007E1B0B" w:rsidP="008D7069">
            <w:pPr>
              <w:rPr>
                <w:rFonts w:ascii="Times New Roman" w:hAnsi="Times New Roman" w:cs="Times New Roman"/>
                <w:sz w:val="24"/>
                <w:szCs w:val="24"/>
              </w:rPr>
            </w:pPr>
          </w:p>
        </w:tc>
        <w:tc>
          <w:tcPr>
            <w:tcW w:w="900" w:type="dxa"/>
          </w:tcPr>
          <w:p w14:paraId="49221E5F" w14:textId="31EF04D7"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3CF40CD6" w14:textId="77777777" w:rsidR="007E1B0B" w:rsidRPr="000D3717" w:rsidRDefault="007E1B0B" w:rsidP="008D7069">
            <w:pPr>
              <w:rPr>
                <w:rFonts w:ascii="Times New Roman" w:hAnsi="Times New Roman" w:cs="Times New Roman"/>
                <w:sz w:val="24"/>
                <w:szCs w:val="24"/>
              </w:rPr>
            </w:pPr>
          </w:p>
        </w:tc>
        <w:tc>
          <w:tcPr>
            <w:tcW w:w="1530" w:type="dxa"/>
          </w:tcPr>
          <w:p w14:paraId="799D3DEA" w14:textId="77777777" w:rsidR="007E1B0B" w:rsidRPr="000D3717" w:rsidRDefault="007E1B0B" w:rsidP="008D7069">
            <w:pPr>
              <w:rPr>
                <w:rFonts w:ascii="Times New Roman" w:hAnsi="Times New Roman" w:cs="Times New Roman"/>
                <w:sz w:val="24"/>
                <w:szCs w:val="24"/>
              </w:rPr>
            </w:pPr>
          </w:p>
        </w:tc>
        <w:tc>
          <w:tcPr>
            <w:tcW w:w="2610" w:type="dxa"/>
          </w:tcPr>
          <w:p w14:paraId="205D217C" w14:textId="77777777" w:rsidR="007E1B0B" w:rsidRPr="000D3717" w:rsidRDefault="007E1B0B" w:rsidP="008D7069">
            <w:pPr>
              <w:rPr>
                <w:rFonts w:ascii="Times New Roman" w:hAnsi="Times New Roman" w:cs="Times New Roman"/>
                <w:sz w:val="24"/>
                <w:szCs w:val="24"/>
              </w:rPr>
            </w:pPr>
          </w:p>
        </w:tc>
      </w:tr>
      <w:tr w:rsidR="007E1B0B" w:rsidRPr="000D3717" w14:paraId="74A0E0A2" w14:textId="77777777" w:rsidTr="009B4686">
        <w:tc>
          <w:tcPr>
            <w:tcW w:w="1710" w:type="dxa"/>
            <w:vMerge/>
          </w:tcPr>
          <w:p w14:paraId="68897F39" w14:textId="77777777" w:rsidR="007E1B0B" w:rsidRPr="000D3717" w:rsidRDefault="007E1B0B" w:rsidP="008D7069">
            <w:pPr>
              <w:rPr>
                <w:rFonts w:ascii="Times New Roman" w:hAnsi="Times New Roman" w:cs="Times New Roman"/>
                <w:sz w:val="24"/>
                <w:szCs w:val="24"/>
              </w:rPr>
            </w:pPr>
          </w:p>
        </w:tc>
        <w:tc>
          <w:tcPr>
            <w:tcW w:w="4050" w:type="dxa"/>
          </w:tcPr>
          <w:p w14:paraId="7DE295A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burimet e ujit të pijshëm?</w:t>
            </w:r>
          </w:p>
        </w:tc>
        <w:tc>
          <w:tcPr>
            <w:tcW w:w="810" w:type="dxa"/>
          </w:tcPr>
          <w:p w14:paraId="78933F37" w14:textId="77777777" w:rsidR="007E1B0B" w:rsidRPr="000D3717" w:rsidRDefault="007E1B0B" w:rsidP="008D7069">
            <w:pPr>
              <w:rPr>
                <w:rFonts w:ascii="Times New Roman" w:hAnsi="Times New Roman" w:cs="Times New Roman"/>
                <w:sz w:val="24"/>
                <w:szCs w:val="24"/>
              </w:rPr>
            </w:pPr>
          </w:p>
        </w:tc>
        <w:tc>
          <w:tcPr>
            <w:tcW w:w="900" w:type="dxa"/>
          </w:tcPr>
          <w:p w14:paraId="43ED1964" w14:textId="4F58C1BE"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79F3E745" w14:textId="77777777" w:rsidR="007E1B0B" w:rsidRPr="000D3717" w:rsidRDefault="007E1B0B" w:rsidP="008D7069">
            <w:pPr>
              <w:rPr>
                <w:rFonts w:ascii="Times New Roman" w:hAnsi="Times New Roman" w:cs="Times New Roman"/>
                <w:sz w:val="24"/>
                <w:szCs w:val="24"/>
              </w:rPr>
            </w:pPr>
          </w:p>
        </w:tc>
        <w:tc>
          <w:tcPr>
            <w:tcW w:w="1530" w:type="dxa"/>
          </w:tcPr>
          <w:p w14:paraId="1CFC2905" w14:textId="77777777" w:rsidR="007E1B0B" w:rsidRPr="000D3717" w:rsidRDefault="007E1B0B" w:rsidP="008D7069">
            <w:pPr>
              <w:rPr>
                <w:rFonts w:ascii="Times New Roman" w:hAnsi="Times New Roman" w:cs="Times New Roman"/>
                <w:sz w:val="24"/>
                <w:szCs w:val="24"/>
              </w:rPr>
            </w:pPr>
          </w:p>
        </w:tc>
        <w:tc>
          <w:tcPr>
            <w:tcW w:w="2610" w:type="dxa"/>
          </w:tcPr>
          <w:p w14:paraId="10BE6E79" w14:textId="77777777" w:rsidR="007E1B0B" w:rsidRPr="000D3717" w:rsidRDefault="007E1B0B" w:rsidP="008D7069">
            <w:pPr>
              <w:rPr>
                <w:rFonts w:ascii="Times New Roman" w:hAnsi="Times New Roman" w:cs="Times New Roman"/>
                <w:sz w:val="24"/>
                <w:szCs w:val="24"/>
              </w:rPr>
            </w:pPr>
          </w:p>
        </w:tc>
      </w:tr>
      <w:tr w:rsidR="007E1B0B" w:rsidRPr="000D3717" w14:paraId="0731061F" w14:textId="77777777" w:rsidTr="009B4686">
        <w:tc>
          <w:tcPr>
            <w:tcW w:w="1710" w:type="dxa"/>
            <w:vMerge w:val="restart"/>
          </w:tcPr>
          <w:p w14:paraId="5AD6AE6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Cilësia e tokës dhe shfrytëzimi i tokës</w:t>
            </w:r>
          </w:p>
        </w:tc>
        <w:tc>
          <w:tcPr>
            <w:tcW w:w="4050" w:type="dxa"/>
          </w:tcPr>
          <w:p w14:paraId="78ED492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cilësinë e tokës (në lidhje me acidifikimin, ndotjen, përdorimin e pesticideve apo herbicideve)?</w:t>
            </w:r>
          </w:p>
        </w:tc>
        <w:tc>
          <w:tcPr>
            <w:tcW w:w="810" w:type="dxa"/>
          </w:tcPr>
          <w:p w14:paraId="421C7606" w14:textId="77777777" w:rsidR="007E1B0B" w:rsidRPr="000D3717" w:rsidRDefault="007E1B0B" w:rsidP="008D7069">
            <w:pPr>
              <w:rPr>
                <w:rFonts w:ascii="Times New Roman" w:hAnsi="Times New Roman" w:cs="Times New Roman"/>
                <w:sz w:val="24"/>
                <w:szCs w:val="24"/>
              </w:rPr>
            </w:pPr>
          </w:p>
        </w:tc>
        <w:tc>
          <w:tcPr>
            <w:tcW w:w="900" w:type="dxa"/>
          </w:tcPr>
          <w:p w14:paraId="58E88CA2" w14:textId="70AE1EBE"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6C68157D" w14:textId="77777777" w:rsidR="007E1B0B" w:rsidRPr="000D3717" w:rsidRDefault="007E1B0B" w:rsidP="008D7069">
            <w:pPr>
              <w:rPr>
                <w:rFonts w:ascii="Times New Roman" w:hAnsi="Times New Roman" w:cs="Times New Roman"/>
                <w:sz w:val="24"/>
                <w:szCs w:val="24"/>
              </w:rPr>
            </w:pPr>
          </w:p>
        </w:tc>
        <w:tc>
          <w:tcPr>
            <w:tcW w:w="1530" w:type="dxa"/>
          </w:tcPr>
          <w:p w14:paraId="700D592A" w14:textId="77777777" w:rsidR="007E1B0B" w:rsidRPr="000D3717" w:rsidRDefault="007E1B0B" w:rsidP="008D7069">
            <w:pPr>
              <w:rPr>
                <w:rFonts w:ascii="Times New Roman" w:hAnsi="Times New Roman" w:cs="Times New Roman"/>
                <w:sz w:val="24"/>
                <w:szCs w:val="24"/>
              </w:rPr>
            </w:pPr>
          </w:p>
        </w:tc>
        <w:tc>
          <w:tcPr>
            <w:tcW w:w="2610" w:type="dxa"/>
          </w:tcPr>
          <w:p w14:paraId="4B228ABB" w14:textId="77777777" w:rsidR="007E1B0B" w:rsidRPr="000D3717" w:rsidRDefault="007E1B0B" w:rsidP="008D7069">
            <w:pPr>
              <w:rPr>
                <w:rFonts w:ascii="Times New Roman" w:hAnsi="Times New Roman" w:cs="Times New Roman"/>
                <w:sz w:val="24"/>
                <w:szCs w:val="24"/>
              </w:rPr>
            </w:pPr>
          </w:p>
        </w:tc>
      </w:tr>
      <w:tr w:rsidR="007E1B0B" w:rsidRPr="000D3717" w14:paraId="32A44521" w14:textId="77777777" w:rsidTr="009B4686">
        <w:tc>
          <w:tcPr>
            <w:tcW w:w="1710" w:type="dxa"/>
            <w:vMerge/>
          </w:tcPr>
          <w:p w14:paraId="7EC49319" w14:textId="77777777" w:rsidR="007E1B0B" w:rsidRPr="000D3717" w:rsidRDefault="007E1B0B" w:rsidP="008D7069">
            <w:pPr>
              <w:rPr>
                <w:rFonts w:ascii="Times New Roman" w:hAnsi="Times New Roman" w:cs="Times New Roman"/>
                <w:sz w:val="24"/>
                <w:szCs w:val="24"/>
              </w:rPr>
            </w:pPr>
          </w:p>
        </w:tc>
        <w:tc>
          <w:tcPr>
            <w:tcW w:w="4050" w:type="dxa"/>
          </w:tcPr>
          <w:p w14:paraId="564C1CF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erozionin e tokës?</w:t>
            </w:r>
          </w:p>
        </w:tc>
        <w:tc>
          <w:tcPr>
            <w:tcW w:w="810" w:type="dxa"/>
          </w:tcPr>
          <w:p w14:paraId="4101204E" w14:textId="77777777" w:rsidR="007E1B0B" w:rsidRPr="000D3717" w:rsidRDefault="007E1B0B" w:rsidP="008D7069">
            <w:pPr>
              <w:rPr>
                <w:rFonts w:ascii="Times New Roman" w:hAnsi="Times New Roman" w:cs="Times New Roman"/>
                <w:sz w:val="24"/>
                <w:szCs w:val="24"/>
              </w:rPr>
            </w:pPr>
          </w:p>
        </w:tc>
        <w:tc>
          <w:tcPr>
            <w:tcW w:w="900" w:type="dxa"/>
          </w:tcPr>
          <w:p w14:paraId="6341169E" w14:textId="0773CBC5"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530D93C6" w14:textId="77777777" w:rsidR="007E1B0B" w:rsidRPr="000D3717" w:rsidRDefault="007E1B0B" w:rsidP="008D7069">
            <w:pPr>
              <w:rPr>
                <w:rFonts w:ascii="Times New Roman" w:hAnsi="Times New Roman" w:cs="Times New Roman"/>
                <w:sz w:val="24"/>
                <w:szCs w:val="24"/>
              </w:rPr>
            </w:pPr>
          </w:p>
        </w:tc>
        <w:tc>
          <w:tcPr>
            <w:tcW w:w="1530" w:type="dxa"/>
          </w:tcPr>
          <w:p w14:paraId="4AEAEDBE" w14:textId="77777777" w:rsidR="007E1B0B" w:rsidRPr="000D3717" w:rsidRDefault="007E1B0B" w:rsidP="008D7069">
            <w:pPr>
              <w:rPr>
                <w:rFonts w:ascii="Times New Roman" w:hAnsi="Times New Roman" w:cs="Times New Roman"/>
                <w:sz w:val="24"/>
                <w:szCs w:val="24"/>
              </w:rPr>
            </w:pPr>
          </w:p>
        </w:tc>
        <w:tc>
          <w:tcPr>
            <w:tcW w:w="2610" w:type="dxa"/>
          </w:tcPr>
          <w:p w14:paraId="31AF718F" w14:textId="77777777" w:rsidR="007E1B0B" w:rsidRPr="000D3717" w:rsidRDefault="007E1B0B" w:rsidP="008D7069">
            <w:pPr>
              <w:rPr>
                <w:rFonts w:ascii="Times New Roman" w:hAnsi="Times New Roman" w:cs="Times New Roman"/>
                <w:sz w:val="24"/>
                <w:szCs w:val="24"/>
              </w:rPr>
            </w:pPr>
          </w:p>
        </w:tc>
      </w:tr>
      <w:tr w:rsidR="007E1B0B" w:rsidRPr="000D3717" w14:paraId="7B50EBB7" w14:textId="77777777" w:rsidTr="009B4686">
        <w:tc>
          <w:tcPr>
            <w:tcW w:w="1710" w:type="dxa"/>
            <w:vMerge/>
          </w:tcPr>
          <w:p w14:paraId="62FCD615" w14:textId="77777777" w:rsidR="007E1B0B" w:rsidRPr="000D3717" w:rsidRDefault="007E1B0B" w:rsidP="008D7069">
            <w:pPr>
              <w:rPr>
                <w:rFonts w:ascii="Times New Roman" w:hAnsi="Times New Roman" w:cs="Times New Roman"/>
                <w:sz w:val="24"/>
                <w:szCs w:val="24"/>
              </w:rPr>
            </w:pPr>
          </w:p>
        </w:tc>
        <w:tc>
          <w:tcPr>
            <w:tcW w:w="4050" w:type="dxa"/>
          </w:tcPr>
          <w:p w14:paraId="18ADCE5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humbet tokë (përmes ndërtimit, </w:t>
            </w:r>
            <w:r w:rsidRPr="000D3717">
              <w:rPr>
                <w:rFonts w:ascii="Times New Roman" w:hAnsi="Times New Roman" w:cs="Times New Roman"/>
                <w:sz w:val="24"/>
                <w:szCs w:val="24"/>
              </w:rPr>
              <w:lastRenderedPageBreak/>
              <w:t>etj.)?</w:t>
            </w:r>
          </w:p>
        </w:tc>
        <w:tc>
          <w:tcPr>
            <w:tcW w:w="810" w:type="dxa"/>
          </w:tcPr>
          <w:p w14:paraId="5ED1392A" w14:textId="77777777" w:rsidR="007E1B0B" w:rsidRPr="000D3717" w:rsidRDefault="007E1B0B" w:rsidP="008D7069">
            <w:pPr>
              <w:rPr>
                <w:rFonts w:ascii="Times New Roman" w:hAnsi="Times New Roman" w:cs="Times New Roman"/>
                <w:sz w:val="24"/>
                <w:szCs w:val="24"/>
              </w:rPr>
            </w:pPr>
          </w:p>
        </w:tc>
        <w:tc>
          <w:tcPr>
            <w:tcW w:w="900" w:type="dxa"/>
          </w:tcPr>
          <w:p w14:paraId="1B8AF97F" w14:textId="0A48684D" w:rsidR="007E1B0B" w:rsidRPr="000D3717" w:rsidRDefault="007E1B0B" w:rsidP="008D7069">
            <w:pPr>
              <w:rPr>
                <w:rFonts w:ascii="Times New Roman" w:hAnsi="Times New Roman" w:cs="Times New Roman"/>
                <w:sz w:val="24"/>
                <w:szCs w:val="24"/>
              </w:rPr>
            </w:pPr>
            <w:r w:rsidRPr="00793274">
              <w:rPr>
                <w:rFonts w:ascii="Times New Roman" w:hAnsi="Times New Roman" w:cs="Times New Roman"/>
                <w:sz w:val="24"/>
                <w:szCs w:val="24"/>
              </w:rPr>
              <w:t>x</w:t>
            </w:r>
          </w:p>
        </w:tc>
        <w:tc>
          <w:tcPr>
            <w:tcW w:w="2430" w:type="dxa"/>
          </w:tcPr>
          <w:p w14:paraId="3D922C91" w14:textId="77777777" w:rsidR="007E1B0B" w:rsidRPr="000D3717" w:rsidRDefault="007E1B0B" w:rsidP="008D7069">
            <w:pPr>
              <w:rPr>
                <w:rFonts w:ascii="Times New Roman" w:hAnsi="Times New Roman" w:cs="Times New Roman"/>
                <w:sz w:val="24"/>
                <w:szCs w:val="24"/>
              </w:rPr>
            </w:pPr>
          </w:p>
        </w:tc>
        <w:tc>
          <w:tcPr>
            <w:tcW w:w="1530" w:type="dxa"/>
          </w:tcPr>
          <w:p w14:paraId="2BC48FB1" w14:textId="77777777" w:rsidR="007E1B0B" w:rsidRPr="000D3717" w:rsidRDefault="007E1B0B" w:rsidP="008D7069">
            <w:pPr>
              <w:rPr>
                <w:rFonts w:ascii="Times New Roman" w:hAnsi="Times New Roman" w:cs="Times New Roman"/>
                <w:sz w:val="24"/>
                <w:szCs w:val="24"/>
              </w:rPr>
            </w:pPr>
          </w:p>
        </w:tc>
        <w:tc>
          <w:tcPr>
            <w:tcW w:w="2610" w:type="dxa"/>
          </w:tcPr>
          <w:p w14:paraId="2EC94B0D" w14:textId="77777777" w:rsidR="007E1B0B" w:rsidRPr="000D3717" w:rsidRDefault="007E1B0B" w:rsidP="008D7069">
            <w:pPr>
              <w:rPr>
                <w:rFonts w:ascii="Times New Roman" w:hAnsi="Times New Roman" w:cs="Times New Roman"/>
                <w:sz w:val="24"/>
                <w:szCs w:val="24"/>
              </w:rPr>
            </w:pPr>
          </w:p>
        </w:tc>
      </w:tr>
      <w:tr w:rsidR="007E1B0B" w:rsidRPr="000D3717" w14:paraId="5BAFCA11" w14:textId="77777777" w:rsidTr="009B4686">
        <w:tc>
          <w:tcPr>
            <w:tcW w:w="1710" w:type="dxa"/>
            <w:vMerge/>
          </w:tcPr>
          <w:p w14:paraId="6A6FBBF2" w14:textId="77777777" w:rsidR="007E1B0B" w:rsidRPr="000D3717" w:rsidRDefault="007E1B0B" w:rsidP="008D7069">
            <w:pPr>
              <w:rPr>
                <w:rFonts w:ascii="Times New Roman" w:hAnsi="Times New Roman" w:cs="Times New Roman"/>
                <w:sz w:val="24"/>
                <w:szCs w:val="24"/>
              </w:rPr>
            </w:pPr>
          </w:p>
        </w:tc>
        <w:tc>
          <w:tcPr>
            <w:tcW w:w="4050" w:type="dxa"/>
          </w:tcPr>
          <w:p w14:paraId="5B8A257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fitohet tokë (përmes dekontaminimit, etj.)?</w:t>
            </w:r>
          </w:p>
        </w:tc>
        <w:tc>
          <w:tcPr>
            <w:tcW w:w="810" w:type="dxa"/>
          </w:tcPr>
          <w:p w14:paraId="5DCCAF1B" w14:textId="77777777" w:rsidR="007E1B0B" w:rsidRPr="000D3717" w:rsidRDefault="007E1B0B" w:rsidP="008D7069">
            <w:pPr>
              <w:rPr>
                <w:rFonts w:ascii="Times New Roman" w:hAnsi="Times New Roman" w:cs="Times New Roman"/>
                <w:sz w:val="24"/>
                <w:szCs w:val="24"/>
              </w:rPr>
            </w:pPr>
          </w:p>
        </w:tc>
        <w:tc>
          <w:tcPr>
            <w:tcW w:w="900" w:type="dxa"/>
          </w:tcPr>
          <w:p w14:paraId="10668D55" w14:textId="5734CCE2"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4948A648" w14:textId="77777777" w:rsidR="007E1B0B" w:rsidRPr="000D3717" w:rsidRDefault="007E1B0B" w:rsidP="008D7069">
            <w:pPr>
              <w:rPr>
                <w:rFonts w:ascii="Times New Roman" w:hAnsi="Times New Roman" w:cs="Times New Roman"/>
                <w:sz w:val="24"/>
                <w:szCs w:val="24"/>
              </w:rPr>
            </w:pPr>
          </w:p>
        </w:tc>
        <w:tc>
          <w:tcPr>
            <w:tcW w:w="1530" w:type="dxa"/>
          </w:tcPr>
          <w:p w14:paraId="031FFF09" w14:textId="77777777" w:rsidR="007E1B0B" w:rsidRPr="000D3717" w:rsidRDefault="007E1B0B" w:rsidP="008D7069">
            <w:pPr>
              <w:rPr>
                <w:rFonts w:ascii="Times New Roman" w:hAnsi="Times New Roman" w:cs="Times New Roman"/>
                <w:sz w:val="24"/>
                <w:szCs w:val="24"/>
              </w:rPr>
            </w:pPr>
          </w:p>
        </w:tc>
        <w:tc>
          <w:tcPr>
            <w:tcW w:w="2610" w:type="dxa"/>
          </w:tcPr>
          <w:p w14:paraId="7D87BECD" w14:textId="77777777" w:rsidR="007E1B0B" w:rsidRPr="000D3717" w:rsidRDefault="007E1B0B" w:rsidP="008D7069">
            <w:pPr>
              <w:rPr>
                <w:rFonts w:ascii="Times New Roman" w:hAnsi="Times New Roman" w:cs="Times New Roman"/>
                <w:sz w:val="24"/>
                <w:szCs w:val="24"/>
              </w:rPr>
            </w:pPr>
          </w:p>
        </w:tc>
      </w:tr>
      <w:tr w:rsidR="007E1B0B" w:rsidRPr="000D3717" w14:paraId="0B6FBE53" w14:textId="77777777" w:rsidTr="009B4686">
        <w:tc>
          <w:tcPr>
            <w:tcW w:w="1710" w:type="dxa"/>
            <w:vMerge/>
          </w:tcPr>
          <w:p w14:paraId="01E7C7DE" w14:textId="77777777" w:rsidR="007E1B0B" w:rsidRPr="000D3717" w:rsidRDefault="007E1B0B" w:rsidP="008D7069">
            <w:pPr>
              <w:rPr>
                <w:rFonts w:ascii="Times New Roman" w:hAnsi="Times New Roman" w:cs="Times New Roman"/>
                <w:sz w:val="24"/>
                <w:szCs w:val="24"/>
              </w:rPr>
            </w:pPr>
          </w:p>
        </w:tc>
        <w:tc>
          <w:tcPr>
            <w:tcW w:w="4050" w:type="dxa"/>
          </w:tcPr>
          <w:p w14:paraId="33EB536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ndryshim në shfrytëzimin e tokës (p.sh. nga shfrytëzimi pyjor në shfrytëzim bujqësor apo urban)?</w:t>
            </w:r>
          </w:p>
        </w:tc>
        <w:tc>
          <w:tcPr>
            <w:tcW w:w="810" w:type="dxa"/>
          </w:tcPr>
          <w:p w14:paraId="65EAB83C" w14:textId="77777777" w:rsidR="007E1B0B" w:rsidRPr="000D3717" w:rsidRDefault="007E1B0B" w:rsidP="008D7069">
            <w:pPr>
              <w:rPr>
                <w:rFonts w:ascii="Times New Roman" w:hAnsi="Times New Roman" w:cs="Times New Roman"/>
                <w:sz w:val="24"/>
                <w:szCs w:val="24"/>
              </w:rPr>
            </w:pPr>
          </w:p>
        </w:tc>
        <w:tc>
          <w:tcPr>
            <w:tcW w:w="900" w:type="dxa"/>
          </w:tcPr>
          <w:p w14:paraId="78AABA46" w14:textId="13B52B7B"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48B8FF86" w14:textId="77777777" w:rsidR="007E1B0B" w:rsidRPr="000D3717" w:rsidRDefault="007E1B0B" w:rsidP="008D7069">
            <w:pPr>
              <w:rPr>
                <w:rFonts w:ascii="Times New Roman" w:hAnsi="Times New Roman" w:cs="Times New Roman"/>
                <w:sz w:val="24"/>
                <w:szCs w:val="24"/>
              </w:rPr>
            </w:pPr>
          </w:p>
        </w:tc>
        <w:tc>
          <w:tcPr>
            <w:tcW w:w="1530" w:type="dxa"/>
          </w:tcPr>
          <w:p w14:paraId="7C2F8753" w14:textId="77777777" w:rsidR="007E1B0B" w:rsidRPr="000D3717" w:rsidRDefault="007E1B0B" w:rsidP="008D7069">
            <w:pPr>
              <w:rPr>
                <w:rFonts w:ascii="Times New Roman" w:hAnsi="Times New Roman" w:cs="Times New Roman"/>
                <w:sz w:val="24"/>
                <w:szCs w:val="24"/>
              </w:rPr>
            </w:pPr>
          </w:p>
        </w:tc>
        <w:tc>
          <w:tcPr>
            <w:tcW w:w="2610" w:type="dxa"/>
          </w:tcPr>
          <w:p w14:paraId="46677E94" w14:textId="77777777" w:rsidR="007E1B0B" w:rsidRPr="000D3717" w:rsidRDefault="007E1B0B" w:rsidP="008D7069">
            <w:pPr>
              <w:rPr>
                <w:rFonts w:ascii="Times New Roman" w:hAnsi="Times New Roman" w:cs="Times New Roman"/>
                <w:sz w:val="24"/>
                <w:szCs w:val="24"/>
              </w:rPr>
            </w:pPr>
          </w:p>
        </w:tc>
      </w:tr>
      <w:tr w:rsidR="007E1B0B" w:rsidRPr="000D3717" w14:paraId="0922B896" w14:textId="77777777" w:rsidTr="009B4686">
        <w:tc>
          <w:tcPr>
            <w:tcW w:w="1710" w:type="dxa"/>
            <w:vMerge w:val="restart"/>
          </w:tcPr>
          <w:p w14:paraId="58E51F5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Mbeturinat dhe riciklimi</w:t>
            </w:r>
          </w:p>
        </w:tc>
        <w:tc>
          <w:tcPr>
            <w:tcW w:w="4050" w:type="dxa"/>
          </w:tcPr>
          <w:p w14:paraId="68F108E0"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do të ndryshojë sasia e mbeturinave të </w:t>
            </w:r>
            <w:proofErr w:type="spellStart"/>
            <w:r w:rsidRPr="000D3717">
              <w:rPr>
                <w:rFonts w:ascii="Times New Roman" w:hAnsi="Times New Roman" w:cs="Times New Roman"/>
                <w:sz w:val="24"/>
                <w:szCs w:val="24"/>
              </w:rPr>
              <w:t>gjeneruara</w:t>
            </w:r>
            <w:proofErr w:type="spellEnd"/>
            <w:r w:rsidRPr="000D3717">
              <w:rPr>
                <w:rFonts w:ascii="Times New Roman" w:hAnsi="Times New Roman" w:cs="Times New Roman"/>
                <w:sz w:val="24"/>
                <w:szCs w:val="24"/>
              </w:rPr>
              <w:t>?</w:t>
            </w:r>
          </w:p>
        </w:tc>
        <w:tc>
          <w:tcPr>
            <w:tcW w:w="810" w:type="dxa"/>
          </w:tcPr>
          <w:p w14:paraId="01EE6E44" w14:textId="77777777" w:rsidR="007E1B0B" w:rsidRPr="000D3717" w:rsidRDefault="007E1B0B" w:rsidP="008D7069">
            <w:pPr>
              <w:rPr>
                <w:rFonts w:ascii="Times New Roman" w:hAnsi="Times New Roman" w:cs="Times New Roman"/>
                <w:sz w:val="24"/>
                <w:szCs w:val="24"/>
              </w:rPr>
            </w:pPr>
          </w:p>
        </w:tc>
        <w:tc>
          <w:tcPr>
            <w:tcW w:w="900" w:type="dxa"/>
          </w:tcPr>
          <w:p w14:paraId="3308E7F7" w14:textId="6788243B"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77B7D096" w14:textId="77777777" w:rsidR="007E1B0B" w:rsidRPr="000D3717" w:rsidRDefault="007E1B0B" w:rsidP="008D7069">
            <w:pPr>
              <w:rPr>
                <w:rFonts w:ascii="Times New Roman" w:hAnsi="Times New Roman" w:cs="Times New Roman"/>
                <w:sz w:val="24"/>
                <w:szCs w:val="24"/>
              </w:rPr>
            </w:pPr>
          </w:p>
        </w:tc>
        <w:tc>
          <w:tcPr>
            <w:tcW w:w="1530" w:type="dxa"/>
          </w:tcPr>
          <w:p w14:paraId="61CA03E0" w14:textId="77777777" w:rsidR="007E1B0B" w:rsidRPr="000D3717" w:rsidRDefault="007E1B0B" w:rsidP="008D7069">
            <w:pPr>
              <w:rPr>
                <w:rFonts w:ascii="Times New Roman" w:hAnsi="Times New Roman" w:cs="Times New Roman"/>
                <w:sz w:val="24"/>
                <w:szCs w:val="24"/>
              </w:rPr>
            </w:pPr>
          </w:p>
        </w:tc>
        <w:tc>
          <w:tcPr>
            <w:tcW w:w="2610" w:type="dxa"/>
          </w:tcPr>
          <w:p w14:paraId="1E038C1B" w14:textId="77777777" w:rsidR="007E1B0B" w:rsidRPr="000D3717" w:rsidRDefault="007E1B0B" w:rsidP="008D7069">
            <w:pPr>
              <w:rPr>
                <w:rFonts w:ascii="Times New Roman" w:hAnsi="Times New Roman" w:cs="Times New Roman"/>
                <w:sz w:val="24"/>
                <w:szCs w:val="24"/>
              </w:rPr>
            </w:pPr>
          </w:p>
        </w:tc>
      </w:tr>
      <w:tr w:rsidR="007E1B0B" w:rsidRPr="000D3717" w14:paraId="6FB0A0B0" w14:textId="77777777" w:rsidTr="009B4686">
        <w:tc>
          <w:tcPr>
            <w:tcW w:w="1710" w:type="dxa"/>
            <w:vMerge/>
          </w:tcPr>
          <w:p w14:paraId="140FFEA1" w14:textId="77777777" w:rsidR="007E1B0B" w:rsidRPr="000D3717" w:rsidRDefault="007E1B0B" w:rsidP="008D7069">
            <w:pPr>
              <w:rPr>
                <w:rFonts w:ascii="Times New Roman" w:hAnsi="Times New Roman" w:cs="Times New Roman"/>
                <w:sz w:val="24"/>
                <w:szCs w:val="24"/>
              </w:rPr>
            </w:pPr>
          </w:p>
        </w:tc>
        <w:tc>
          <w:tcPr>
            <w:tcW w:w="4050" w:type="dxa"/>
          </w:tcPr>
          <w:p w14:paraId="44A8197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ndryshojnë mënyrat në të cilat trajtohen mbeturinat?</w:t>
            </w:r>
          </w:p>
        </w:tc>
        <w:tc>
          <w:tcPr>
            <w:tcW w:w="810" w:type="dxa"/>
          </w:tcPr>
          <w:p w14:paraId="7FE4CB4E" w14:textId="77777777" w:rsidR="007E1B0B" w:rsidRPr="000D3717" w:rsidRDefault="007E1B0B" w:rsidP="008D7069">
            <w:pPr>
              <w:rPr>
                <w:rFonts w:ascii="Times New Roman" w:hAnsi="Times New Roman" w:cs="Times New Roman"/>
                <w:sz w:val="24"/>
                <w:szCs w:val="24"/>
              </w:rPr>
            </w:pPr>
          </w:p>
        </w:tc>
        <w:tc>
          <w:tcPr>
            <w:tcW w:w="900" w:type="dxa"/>
          </w:tcPr>
          <w:p w14:paraId="07586594" w14:textId="5693B39D"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653D8427" w14:textId="77777777" w:rsidR="007E1B0B" w:rsidRPr="000D3717" w:rsidRDefault="007E1B0B" w:rsidP="008D7069">
            <w:pPr>
              <w:rPr>
                <w:rFonts w:ascii="Times New Roman" w:hAnsi="Times New Roman" w:cs="Times New Roman"/>
                <w:sz w:val="24"/>
                <w:szCs w:val="24"/>
              </w:rPr>
            </w:pPr>
          </w:p>
        </w:tc>
        <w:tc>
          <w:tcPr>
            <w:tcW w:w="1530" w:type="dxa"/>
          </w:tcPr>
          <w:p w14:paraId="0403BE83" w14:textId="77777777" w:rsidR="007E1B0B" w:rsidRPr="000D3717" w:rsidRDefault="007E1B0B" w:rsidP="008D7069">
            <w:pPr>
              <w:rPr>
                <w:rFonts w:ascii="Times New Roman" w:hAnsi="Times New Roman" w:cs="Times New Roman"/>
                <w:sz w:val="24"/>
                <w:szCs w:val="24"/>
              </w:rPr>
            </w:pPr>
          </w:p>
        </w:tc>
        <w:tc>
          <w:tcPr>
            <w:tcW w:w="2610" w:type="dxa"/>
          </w:tcPr>
          <w:p w14:paraId="1EB0621C" w14:textId="77777777" w:rsidR="007E1B0B" w:rsidRPr="000D3717" w:rsidRDefault="007E1B0B" w:rsidP="008D7069">
            <w:pPr>
              <w:rPr>
                <w:rFonts w:ascii="Times New Roman" w:hAnsi="Times New Roman" w:cs="Times New Roman"/>
                <w:sz w:val="24"/>
                <w:szCs w:val="24"/>
              </w:rPr>
            </w:pPr>
          </w:p>
        </w:tc>
      </w:tr>
      <w:tr w:rsidR="007E1B0B" w:rsidRPr="000D3717" w14:paraId="0591B8D3" w14:textId="77777777" w:rsidTr="009B4686">
        <w:tc>
          <w:tcPr>
            <w:tcW w:w="1710" w:type="dxa"/>
            <w:vMerge/>
          </w:tcPr>
          <w:p w14:paraId="66117BF1" w14:textId="77777777" w:rsidR="007E1B0B" w:rsidRPr="000D3717" w:rsidRDefault="007E1B0B" w:rsidP="008D7069">
            <w:pPr>
              <w:rPr>
                <w:rFonts w:ascii="Times New Roman" w:hAnsi="Times New Roman" w:cs="Times New Roman"/>
                <w:sz w:val="24"/>
                <w:szCs w:val="24"/>
              </w:rPr>
            </w:pPr>
          </w:p>
        </w:tc>
        <w:tc>
          <w:tcPr>
            <w:tcW w:w="4050" w:type="dxa"/>
          </w:tcPr>
          <w:p w14:paraId="47CCBE1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mundësitë për riciklimin e mbeturinave?</w:t>
            </w:r>
          </w:p>
        </w:tc>
        <w:tc>
          <w:tcPr>
            <w:tcW w:w="810" w:type="dxa"/>
          </w:tcPr>
          <w:p w14:paraId="14A47323" w14:textId="77777777" w:rsidR="007E1B0B" w:rsidRPr="000D3717" w:rsidRDefault="007E1B0B" w:rsidP="008D7069">
            <w:pPr>
              <w:rPr>
                <w:rFonts w:ascii="Times New Roman" w:hAnsi="Times New Roman" w:cs="Times New Roman"/>
                <w:sz w:val="24"/>
                <w:szCs w:val="24"/>
              </w:rPr>
            </w:pPr>
          </w:p>
        </w:tc>
        <w:tc>
          <w:tcPr>
            <w:tcW w:w="900" w:type="dxa"/>
          </w:tcPr>
          <w:p w14:paraId="03E1BAD8" w14:textId="6FFD4B75"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05C99BA2" w14:textId="77777777" w:rsidR="007E1B0B" w:rsidRPr="000D3717" w:rsidRDefault="007E1B0B" w:rsidP="008D7069">
            <w:pPr>
              <w:rPr>
                <w:rFonts w:ascii="Times New Roman" w:hAnsi="Times New Roman" w:cs="Times New Roman"/>
                <w:sz w:val="24"/>
                <w:szCs w:val="24"/>
              </w:rPr>
            </w:pPr>
          </w:p>
        </w:tc>
        <w:tc>
          <w:tcPr>
            <w:tcW w:w="1530" w:type="dxa"/>
          </w:tcPr>
          <w:p w14:paraId="22643AF1" w14:textId="77777777" w:rsidR="007E1B0B" w:rsidRPr="000D3717" w:rsidRDefault="007E1B0B" w:rsidP="008D7069">
            <w:pPr>
              <w:rPr>
                <w:rFonts w:ascii="Times New Roman" w:hAnsi="Times New Roman" w:cs="Times New Roman"/>
                <w:sz w:val="24"/>
                <w:szCs w:val="24"/>
              </w:rPr>
            </w:pPr>
          </w:p>
        </w:tc>
        <w:tc>
          <w:tcPr>
            <w:tcW w:w="2610" w:type="dxa"/>
          </w:tcPr>
          <w:p w14:paraId="7A360604" w14:textId="77777777" w:rsidR="007E1B0B" w:rsidRPr="000D3717" w:rsidRDefault="007E1B0B" w:rsidP="008D7069">
            <w:pPr>
              <w:rPr>
                <w:rFonts w:ascii="Times New Roman" w:hAnsi="Times New Roman" w:cs="Times New Roman"/>
                <w:sz w:val="24"/>
                <w:szCs w:val="24"/>
              </w:rPr>
            </w:pPr>
          </w:p>
        </w:tc>
      </w:tr>
      <w:tr w:rsidR="007E1B0B" w:rsidRPr="000D3717" w14:paraId="23CD0609" w14:textId="77777777" w:rsidTr="009B4686">
        <w:tc>
          <w:tcPr>
            <w:tcW w:w="1710" w:type="dxa"/>
            <w:vMerge w:val="restart"/>
          </w:tcPr>
          <w:p w14:paraId="426C236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Përdorimi i burimeve</w:t>
            </w:r>
          </w:p>
        </w:tc>
        <w:tc>
          <w:tcPr>
            <w:tcW w:w="4050" w:type="dxa"/>
          </w:tcPr>
          <w:p w14:paraId="4996514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përdorimin e burimeve të </w:t>
            </w:r>
            <w:proofErr w:type="spellStart"/>
            <w:r w:rsidRPr="000D3717">
              <w:rPr>
                <w:rFonts w:ascii="Times New Roman" w:hAnsi="Times New Roman" w:cs="Times New Roman"/>
                <w:sz w:val="24"/>
                <w:szCs w:val="24"/>
              </w:rPr>
              <w:t>ripërtëritshme</w:t>
            </w:r>
            <w:proofErr w:type="spellEnd"/>
            <w:r w:rsidRPr="000D3717">
              <w:rPr>
                <w:rFonts w:ascii="Times New Roman" w:hAnsi="Times New Roman" w:cs="Times New Roman"/>
                <w:sz w:val="24"/>
                <w:szCs w:val="24"/>
              </w:rPr>
              <w:t xml:space="preserve"> (rezervave të peshkut, hidrocentraleve, energjisë diellore etj.)?</w:t>
            </w:r>
          </w:p>
        </w:tc>
        <w:tc>
          <w:tcPr>
            <w:tcW w:w="810" w:type="dxa"/>
          </w:tcPr>
          <w:p w14:paraId="26B9C3A0" w14:textId="77777777" w:rsidR="007E1B0B" w:rsidRPr="000D3717" w:rsidRDefault="007E1B0B" w:rsidP="008D7069">
            <w:pPr>
              <w:rPr>
                <w:rFonts w:ascii="Times New Roman" w:hAnsi="Times New Roman" w:cs="Times New Roman"/>
                <w:sz w:val="24"/>
                <w:szCs w:val="24"/>
              </w:rPr>
            </w:pPr>
          </w:p>
        </w:tc>
        <w:tc>
          <w:tcPr>
            <w:tcW w:w="900" w:type="dxa"/>
          </w:tcPr>
          <w:p w14:paraId="3F92A3FF" w14:textId="5FC846D8"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77AA436D" w14:textId="77777777" w:rsidR="007E1B0B" w:rsidRPr="000D3717" w:rsidRDefault="007E1B0B" w:rsidP="008D7069">
            <w:pPr>
              <w:rPr>
                <w:rFonts w:ascii="Times New Roman" w:hAnsi="Times New Roman" w:cs="Times New Roman"/>
                <w:sz w:val="24"/>
                <w:szCs w:val="24"/>
              </w:rPr>
            </w:pPr>
          </w:p>
        </w:tc>
        <w:tc>
          <w:tcPr>
            <w:tcW w:w="1530" w:type="dxa"/>
          </w:tcPr>
          <w:p w14:paraId="59E9ABF9" w14:textId="77777777" w:rsidR="007E1B0B" w:rsidRPr="000D3717" w:rsidRDefault="007E1B0B" w:rsidP="008D7069">
            <w:pPr>
              <w:rPr>
                <w:rFonts w:ascii="Times New Roman" w:hAnsi="Times New Roman" w:cs="Times New Roman"/>
                <w:sz w:val="24"/>
                <w:szCs w:val="24"/>
              </w:rPr>
            </w:pPr>
          </w:p>
        </w:tc>
        <w:tc>
          <w:tcPr>
            <w:tcW w:w="2610" w:type="dxa"/>
          </w:tcPr>
          <w:p w14:paraId="74776790" w14:textId="77777777" w:rsidR="007E1B0B" w:rsidRPr="000D3717" w:rsidRDefault="007E1B0B" w:rsidP="008D7069">
            <w:pPr>
              <w:rPr>
                <w:rFonts w:ascii="Times New Roman" w:hAnsi="Times New Roman" w:cs="Times New Roman"/>
                <w:sz w:val="24"/>
                <w:szCs w:val="24"/>
              </w:rPr>
            </w:pPr>
          </w:p>
        </w:tc>
      </w:tr>
      <w:tr w:rsidR="007E1B0B" w:rsidRPr="000D3717" w14:paraId="22117059" w14:textId="77777777" w:rsidTr="009B4686">
        <w:tc>
          <w:tcPr>
            <w:tcW w:w="1710" w:type="dxa"/>
            <w:vMerge/>
          </w:tcPr>
          <w:p w14:paraId="0B6D5187" w14:textId="77777777" w:rsidR="007E1B0B" w:rsidRPr="000D3717" w:rsidRDefault="007E1B0B" w:rsidP="008D7069">
            <w:pPr>
              <w:rPr>
                <w:rFonts w:ascii="Times New Roman" w:hAnsi="Times New Roman" w:cs="Times New Roman"/>
                <w:sz w:val="24"/>
                <w:szCs w:val="24"/>
              </w:rPr>
            </w:pPr>
          </w:p>
        </w:tc>
        <w:tc>
          <w:tcPr>
            <w:tcW w:w="4050" w:type="dxa"/>
          </w:tcPr>
          <w:p w14:paraId="7BDD5BBD"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përdorimin e burimeve, të cilat nuk janë të </w:t>
            </w:r>
            <w:proofErr w:type="spellStart"/>
            <w:r w:rsidRPr="000D3717">
              <w:rPr>
                <w:rFonts w:ascii="Times New Roman" w:hAnsi="Times New Roman" w:cs="Times New Roman"/>
                <w:sz w:val="24"/>
                <w:szCs w:val="24"/>
              </w:rPr>
              <w:t>ripërtëritshme</w:t>
            </w:r>
            <w:proofErr w:type="spellEnd"/>
            <w:r w:rsidRPr="000D3717">
              <w:rPr>
                <w:rFonts w:ascii="Times New Roman" w:hAnsi="Times New Roman" w:cs="Times New Roman"/>
                <w:sz w:val="24"/>
                <w:szCs w:val="24"/>
              </w:rPr>
              <w:t xml:space="preserve"> (ujërat nëntokësore, mineralet, qymyri etj.)?</w:t>
            </w:r>
          </w:p>
        </w:tc>
        <w:tc>
          <w:tcPr>
            <w:tcW w:w="810" w:type="dxa"/>
          </w:tcPr>
          <w:p w14:paraId="76156E99" w14:textId="77777777" w:rsidR="007E1B0B" w:rsidRPr="000D3717" w:rsidRDefault="007E1B0B" w:rsidP="008D7069">
            <w:pPr>
              <w:rPr>
                <w:rFonts w:ascii="Times New Roman" w:hAnsi="Times New Roman" w:cs="Times New Roman"/>
                <w:sz w:val="24"/>
                <w:szCs w:val="24"/>
              </w:rPr>
            </w:pPr>
          </w:p>
        </w:tc>
        <w:tc>
          <w:tcPr>
            <w:tcW w:w="900" w:type="dxa"/>
          </w:tcPr>
          <w:p w14:paraId="2F40D70C" w14:textId="7F26E3CD"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6586BDC0" w14:textId="77777777" w:rsidR="007E1B0B" w:rsidRPr="000D3717" w:rsidRDefault="007E1B0B" w:rsidP="008D7069">
            <w:pPr>
              <w:rPr>
                <w:rFonts w:ascii="Times New Roman" w:hAnsi="Times New Roman" w:cs="Times New Roman"/>
                <w:sz w:val="24"/>
                <w:szCs w:val="24"/>
              </w:rPr>
            </w:pPr>
          </w:p>
        </w:tc>
        <w:tc>
          <w:tcPr>
            <w:tcW w:w="1530" w:type="dxa"/>
          </w:tcPr>
          <w:p w14:paraId="7D2A5925" w14:textId="77777777" w:rsidR="007E1B0B" w:rsidRPr="000D3717" w:rsidRDefault="007E1B0B" w:rsidP="008D7069">
            <w:pPr>
              <w:rPr>
                <w:rFonts w:ascii="Times New Roman" w:hAnsi="Times New Roman" w:cs="Times New Roman"/>
                <w:sz w:val="24"/>
                <w:szCs w:val="24"/>
              </w:rPr>
            </w:pPr>
          </w:p>
        </w:tc>
        <w:tc>
          <w:tcPr>
            <w:tcW w:w="2610" w:type="dxa"/>
          </w:tcPr>
          <w:p w14:paraId="5CAADDF2" w14:textId="77777777" w:rsidR="007E1B0B" w:rsidRPr="000D3717" w:rsidRDefault="007E1B0B" w:rsidP="008D7069">
            <w:pPr>
              <w:rPr>
                <w:rFonts w:ascii="Times New Roman" w:hAnsi="Times New Roman" w:cs="Times New Roman"/>
                <w:sz w:val="24"/>
                <w:szCs w:val="24"/>
              </w:rPr>
            </w:pPr>
          </w:p>
        </w:tc>
      </w:tr>
      <w:tr w:rsidR="007E1B0B" w:rsidRPr="000D3717" w14:paraId="4F6FB15A" w14:textId="77777777" w:rsidTr="009B4686">
        <w:tc>
          <w:tcPr>
            <w:tcW w:w="1710" w:type="dxa"/>
            <w:vMerge w:val="restart"/>
          </w:tcPr>
          <w:p w14:paraId="120FBB3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Shkalla e rreziqeve mjedisore</w:t>
            </w:r>
          </w:p>
        </w:tc>
        <w:tc>
          <w:tcPr>
            <w:tcW w:w="4050" w:type="dxa"/>
          </w:tcPr>
          <w:p w14:paraId="008EA96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efekt në gjasat për rreziqe, të tilla, si zjarret, shpërthimet apo aksidentet?</w:t>
            </w:r>
          </w:p>
        </w:tc>
        <w:tc>
          <w:tcPr>
            <w:tcW w:w="810" w:type="dxa"/>
          </w:tcPr>
          <w:p w14:paraId="7C061F52" w14:textId="77777777" w:rsidR="007E1B0B" w:rsidRPr="000D3717" w:rsidRDefault="007E1B0B" w:rsidP="008D7069">
            <w:pPr>
              <w:rPr>
                <w:rFonts w:ascii="Times New Roman" w:hAnsi="Times New Roman" w:cs="Times New Roman"/>
                <w:sz w:val="24"/>
                <w:szCs w:val="24"/>
              </w:rPr>
            </w:pPr>
          </w:p>
        </w:tc>
        <w:tc>
          <w:tcPr>
            <w:tcW w:w="900" w:type="dxa"/>
          </w:tcPr>
          <w:p w14:paraId="11EC8880" w14:textId="5F63B26C"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3A3D5152" w14:textId="77777777" w:rsidR="007E1B0B" w:rsidRPr="000D3717" w:rsidRDefault="007E1B0B" w:rsidP="008D7069">
            <w:pPr>
              <w:rPr>
                <w:rFonts w:ascii="Times New Roman" w:hAnsi="Times New Roman" w:cs="Times New Roman"/>
                <w:sz w:val="24"/>
                <w:szCs w:val="24"/>
              </w:rPr>
            </w:pPr>
          </w:p>
        </w:tc>
        <w:tc>
          <w:tcPr>
            <w:tcW w:w="1530" w:type="dxa"/>
          </w:tcPr>
          <w:p w14:paraId="5D6580D1" w14:textId="77777777" w:rsidR="007E1B0B" w:rsidRPr="000D3717" w:rsidRDefault="007E1B0B" w:rsidP="008D7069">
            <w:pPr>
              <w:rPr>
                <w:rFonts w:ascii="Times New Roman" w:hAnsi="Times New Roman" w:cs="Times New Roman"/>
                <w:sz w:val="24"/>
                <w:szCs w:val="24"/>
              </w:rPr>
            </w:pPr>
          </w:p>
        </w:tc>
        <w:tc>
          <w:tcPr>
            <w:tcW w:w="2610" w:type="dxa"/>
          </w:tcPr>
          <w:p w14:paraId="1A0BBD73" w14:textId="77777777" w:rsidR="007E1B0B" w:rsidRPr="000D3717" w:rsidRDefault="007E1B0B" w:rsidP="008D7069">
            <w:pPr>
              <w:rPr>
                <w:rFonts w:ascii="Times New Roman" w:hAnsi="Times New Roman" w:cs="Times New Roman"/>
                <w:sz w:val="24"/>
                <w:szCs w:val="24"/>
              </w:rPr>
            </w:pPr>
          </w:p>
        </w:tc>
      </w:tr>
      <w:tr w:rsidR="007E1B0B" w:rsidRPr="000D3717" w14:paraId="4172B3FB" w14:textId="77777777" w:rsidTr="009B4686">
        <w:tc>
          <w:tcPr>
            <w:tcW w:w="1710" w:type="dxa"/>
            <w:vMerge/>
          </w:tcPr>
          <w:p w14:paraId="0AF3BBF7" w14:textId="77777777" w:rsidR="007E1B0B" w:rsidRPr="000D3717" w:rsidRDefault="007E1B0B" w:rsidP="008D7069">
            <w:pPr>
              <w:rPr>
                <w:rFonts w:ascii="Times New Roman" w:hAnsi="Times New Roman" w:cs="Times New Roman"/>
                <w:sz w:val="24"/>
                <w:szCs w:val="24"/>
              </w:rPr>
            </w:pPr>
          </w:p>
        </w:tc>
        <w:tc>
          <w:tcPr>
            <w:tcW w:w="4050" w:type="dxa"/>
          </w:tcPr>
          <w:p w14:paraId="437EA64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ndikojë në gatishmërinë në rast të fatkeqësive natyrore?</w:t>
            </w:r>
          </w:p>
        </w:tc>
        <w:tc>
          <w:tcPr>
            <w:tcW w:w="810" w:type="dxa"/>
          </w:tcPr>
          <w:p w14:paraId="6CBDF0CB" w14:textId="77777777" w:rsidR="007E1B0B" w:rsidRPr="000D3717" w:rsidRDefault="007E1B0B" w:rsidP="008D7069">
            <w:pPr>
              <w:rPr>
                <w:rFonts w:ascii="Times New Roman" w:hAnsi="Times New Roman" w:cs="Times New Roman"/>
                <w:sz w:val="24"/>
                <w:szCs w:val="24"/>
              </w:rPr>
            </w:pPr>
          </w:p>
        </w:tc>
        <w:tc>
          <w:tcPr>
            <w:tcW w:w="900" w:type="dxa"/>
          </w:tcPr>
          <w:p w14:paraId="4DCB9761" w14:textId="15E42090"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167B32FE" w14:textId="77777777" w:rsidR="007E1B0B" w:rsidRPr="000D3717" w:rsidRDefault="007E1B0B" w:rsidP="008D7069">
            <w:pPr>
              <w:rPr>
                <w:rFonts w:ascii="Times New Roman" w:hAnsi="Times New Roman" w:cs="Times New Roman"/>
                <w:sz w:val="24"/>
                <w:szCs w:val="24"/>
              </w:rPr>
            </w:pPr>
          </w:p>
        </w:tc>
        <w:tc>
          <w:tcPr>
            <w:tcW w:w="1530" w:type="dxa"/>
          </w:tcPr>
          <w:p w14:paraId="0F5FEA15" w14:textId="77777777" w:rsidR="007E1B0B" w:rsidRPr="000D3717" w:rsidRDefault="007E1B0B" w:rsidP="008D7069">
            <w:pPr>
              <w:rPr>
                <w:rFonts w:ascii="Times New Roman" w:hAnsi="Times New Roman" w:cs="Times New Roman"/>
                <w:sz w:val="24"/>
                <w:szCs w:val="24"/>
              </w:rPr>
            </w:pPr>
          </w:p>
        </w:tc>
        <w:tc>
          <w:tcPr>
            <w:tcW w:w="2610" w:type="dxa"/>
          </w:tcPr>
          <w:p w14:paraId="6DA3D6C2" w14:textId="77777777" w:rsidR="007E1B0B" w:rsidRPr="000D3717" w:rsidRDefault="007E1B0B" w:rsidP="008D7069">
            <w:pPr>
              <w:rPr>
                <w:rFonts w:ascii="Times New Roman" w:hAnsi="Times New Roman" w:cs="Times New Roman"/>
                <w:sz w:val="24"/>
                <w:szCs w:val="24"/>
              </w:rPr>
            </w:pPr>
          </w:p>
        </w:tc>
      </w:tr>
      <w:tr w:rsidR="007E1B0B" w:rsidRPr="000D3717" w14:paraId="22DAC507" w14:textId="77777777" w:rsidTr="009B4686">
        <w:tc>
          <w:tcPr>
            <w:tcW w:w="1710" w:type="dxa"/>
            <w:vMerge/>
          </w:tcPr>
          <w:p w14:paraId="686F866A" w14:textId="77777777" w:rsidR="007E1B0B" w:rsidRPr="000D3717" w:rsidRDefault="007E1B0B" w:rsidP="008D7069">
            <w:pPr>
              <w:rPr>
                <w:rFonts w:ascii="Times New Roman" w:hAnsi="Times New Roman" w:cs="Times New Roman"/>
                <w:sz w:val="24"/>
                <w:szCs w:val="24"/>
              </w:rPr>
            </w:pPr>
          </w:p>
        </w:tc>
        <w:tc>
          <w:tcPr>
            <w:tcW w:w="4050" w:type="dxa"/>
          </w:tcPr>
          <w:p w14:paraId="19846F5F" w14:textId="77777777" w:rsidR="007E1B0B" w:rsidRPr="000D3717" w:rsidRDefault="007E1B0B" w:rsidP="002D17EC">
            <w:pPr>
              <w:rPr>
                <w:rFonts w:ascii="Times New Roman" w:hAnsi="Times New Roman" w:cs="Times New Roman"/>
                <w:sz w:val="24"/>
                <w:szCs w:val="24"/>
              </w:rPr>
            </w:pPr>
            <w:r w:rsidRPr="000D3717">
              <w:rPr>
                <w:rFonts w:ascii="Times New Roman" w:hAnsi="Times New Roman" w:cs="Times New Roman"/>
                <w:sz w:val="24"/>
                <w:szCs w:val="24"/>
              </w:rPr>
              <w:t>A ndikohet mbrojtja e shoqërisë nga fatkeqësitë natyrore?</w:t>
            </w:r>
          </w:p>
        </w:tc>
        <w:tc>
          <w:tcPr>
            <w:tcW w:w="810" w:type="dxa"/>
          </w:tcPr>
          <w:p w14:paraId="08B14158" w14:textId="77777777" w:rsidR="007E1B0B" w:rsidRPr="000D3717" w:rsidRDefault="007E1B0B" w:rsidP="008D7069">
            <w:pPr>
              <w:rPr>
                <w:rFonts w:ascii="Times New Roman" w:hAnsi="Times New Roman" w:cs="Times New Roman"/>
                <w:sz w:val="24"/>
                <w:szCs w:val="24"/>
              </w:rPr>
            </w:pPr>
          </w:p>
        </w:tc>
        <w:tc>
          <w:tcPr>
            <w:tcW w:w="900" w:type="dxa"/>
          </w:tcPr>
          <w:p w14:paraId="1324786E" w14:textId="0A7B4FD3"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792CD4EC" w14:textId="77777777" w:rsidR="007E1B0B" w:rsidRPr="000D3717" w:rsidRDefault="007E1B0B" w:rsidP="008D7069">
            <w:pPr>
              <w:rPr>
                <w:rFonts w:ascii="Times New Roman" w:hAnsi="Times New Roman" w:cs="Times New Roman"/>
                <w:sz w:val="24"/>
                <w:szCs w:val="24"/>
              </w:rPr>
            </w:pPr>
          </w:p>
        </w:tc>
        <w:tc>
          <w:tcPr>
            <w:tcW w:w="1530" w:type="dxa"/>
          </w:tcPr>
          <w:p w14:paraId="47F14E15" w14:textId="77777777" w:rsidR="007E1B0B" w:rsidRPr="000D3717" w:rsidRDefault="007E1B0B" w:rsidP="008D7069">
            <w:pPr>
              <w:rPr>
                <w:rFonts w:ascii="Times New Roman" w:hAnsi="Times New Roman" w:cs="Times New Roman"/>
                <w:sz w:val="24"/>
                <w:szCs w:val="24"/>
              </w:rPr>
            </w:pPr>
          </w:p>
        </w:tc>
        <w:tc>
          <w:tcPr>
            <w:tcW w:w="2610" w:type="dxa"/>
          </w:tcPr>
          <w:p w14:paraId="0F4D4849" w14:textId="77777777" w:rsidR="007E1B0B" w:rsidRPr="000D3717" w:rsidRDefault="007E1B0B" w:rsidP="008D7069">
            <w:pPr>
              <w:rPr>
                <w:rFonts w:ascii="Times New Roman" w:hAnsi="Times New Roman" w:cs="Times New Roman"/>
                <w:sz w:val="24"/>
                <w:szCs w:val="24"/>
              </w:rPr>
            </w:pPr>
          </w:p>
        </w:tc>
      </w:tr>
      <w:tr w:rsidR="007E1B0B" w:rsidRPr="000D3717" w14:paraId="68ABBC98" w14:textId="77777777" w:rsidTr="009B4686">
        <w:tc>
          <w:tcPr>
            <w:tcW w:w="1710" w:type="dxa"/>
            <w:vMerge w:val="restart"/>
          </w:tcPr>
          <w:p w14:paraId="3DC57356" w14:textId="77777777" w:rsidR="007E1B0B" w:rsidRPr="000D3717" w:rsidRDefault="007E1B0B" w:rsidP="008D7069">
            <w:pPr>
              <w:rPr>
                <w:rFonts w:ascii="Times New Roman" w:hAnsi="Times New Roman" w:cs="Times New Roman"/>
                <w:sz w:val="24"/>
                <w:szCs w:val="24"/>
              </w:rPr>
            </w:pPr>
            <w:proofErr w:type="spellStart"/>
            <w:r w:rsidRPr="000D3717">
              <w:rPr>
                <w:rFonts w:ascii="Times New Roman" w:hAnsi="Times New Roman" w:cs="Times New Roman"/>
                <w:sz w:val="24"/>
                <w:szCs w:val="24"/>
              </w:rPr>
              <w:t>Biodiversiteti</w:t>
            </w:r>
            <w:proofErr w:type="spellEnd"/>
            <w:r w:rsidRPr="000D3717">
              <w:rPr>
                <w:rFonts w:ascii="Times New Roman" w:hAnsi="Times New Roman" w:cs="Times New Roman"/>
                <w:sz w:val="24"/>
                <w:szCs w:val="24"/>
              </w:rPr>
              <w:t>, flora dhe fauna</w:t>
            </w:r>
          </w:p>
        </w:tc>
        <w:tc>
          <w:tcPr>
            <w:tcW w:w="4050" w:type="dxa"/>
          </w:tcPr>
          <w:p w14:paraId="5AE6834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ndikim në speciet e mbrojtura apo të rrezikuara apo në zonat ku ato jetojnë?</w:t>
            </w:r>
          </w:p>
        </w:tc>
        <w:tc>
          <w:tcPr>
            <w:tcW w:w="810" w:type="dxa"/>
          </w:tcPr>
          <w:p w14:paraId="58464CB9" w14:textId="77777777" w:rsidR="007E1B0B" w:rsidRPr="000D3717" w:rsidRDefault="007E1B0B" w:rsidP="008D7069">
            <w:pPr>
              <w:rPr>
                <w:rFonts w:ascii="Times New Roman" w:hAnsi="Times New Roman" w:cs="Times New Roman"/>
                <w:sz w:val="24"/>
                <w:szCs w:val="24"/>
              </w:rPr>
            </w:pPr>
          </w:p>
        </w:tc>
        <w:tc>
          <w:tcPr>
            <w:tcW w:w="900" w:type="dxa"/>
          </w:tcPr>
          <w:p w14:paraId="1BFA3591" w14:textId="42959F02"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68E5C5C7" w14:textId="77777777" w:rsidR="007E1B0B" w:rsidRPr="000D3717" w:rsidRDefault="007E1B0B" w:rsidP="008D7069">
            <w:pPr>
              <w:rPr>
                <w:rFonts w:ascii="Times New Roman" w:hAnsi="Times New Roman" w:cs="Times New Roman"/>
                <w:sz w:val="24"/>
                <w:szCs w:val="24"/>
              </w:rPr>
            </w:pPr>
          </w:p>
        </w:tc>
        <w:tc>
          <w:tcPr>
            <w:tcW w:w="1530" w:type="dxa"/>
          </w:tcPr>
          <w:p w14:paraId="51E155C8" w14:textId="77777777" w:rsidR="007E1B0B" w:rsidRPr="000D3717" w:rsidRDefault="007E1B0B" w:rsidP="008D7069">
            <w:pPr>
              <w:rPr>
                <w:rFonts w:ascii="Times New Roman" w:hAnsi="Times New Roman" w:cs="Times New Roman"/>
                <w:sz w:val="24"/>
                <w:szCs w:val="24"/>
              </w:rPr>
            </w:pPr>
          </w:p>
        </w:tc>
        <w:tc>
          <w:tcPr>
            <w:tcW w:w="2610" w:type="dxa"/>
          </w:tcPr>
          <w:p w14:paraId="4CA4C87A" w14:textId="77777777" w:rsidR="007E1B0B" w:rsidRPr="000D3717" w:rsidRDefault="007E1B0B" w:rsidP="008D7069">
            <w:pPr>
              <w:rPr>
                <w:rFonts w:ascii="Times New Roman" w:hAnsi="Times New Roman" w:cs="Times New Roman"/>
                <w:sz w:val="24"/>
                <w:szCs w:val="24"/>
              </w:rPr>
            </w:pPr>
          </w:p>
        </w:tc>
      </w:tr>
      <w:tr w:rsidR="007E1B0B" w:rsidRPr="000D3717" w14:paraId="2EBE350E" w14:textId="77777777" w:rsidTr="009B4686">
        <w:tc>
          <w:tcPr>
            <w:tcW w:w="1710" w:type="dxa"/>
            <w:vMerge/>
          </w:tcPr>
          <w:p w14:paraId="1F6F0FFA" w14:textId="77777777" w:rsidR="007E1B0B" w:rsidRPr="000D3717" w:rsidRDefault="007E1B0B" w:rsidP="008D7069">
            <w:pPr>
              <w:rPr>
                <w:rFonts w:ascii="Times New Roman" w:hAnsi="Times New Roman" w:cs="Times New Roman"/>
                <w:sz w:val="24"/>
                <w:szCs w:val="24"/>
              </w:rPr>
            </w:pPr>
          </w:p>
        </w:tc>
        <w:tc>
          <w:tcPr>
            <w:tcW w:w="4050" w:type="dxa"/>
          </w:tcPr>
          <w:p w14:paraId="02C4ADD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preket madhësia apo lidhjet midis zonave të natyrës?</w:t>
            </w:r>
          </w:p>
        </w:tc>
        <w:tc>
          <w:tcPr>
            <w:tcW w:w="810" w:type="dxa"/>
          </w:tcPr>
          <w:p w14:paraId="4E4E81B3" w14:textId="77777777" w:rsidR="007E1B0B" w:rsidRPr="000D3717" w:rsidRDefault="007E1B0B" w:rsidP="008D7069">
            <w:pPr>
              <w:rPr>
                <w:rFonts w:ascii="Times New Roman" w:hAnsi="Times New Roman" w:cs="Times New Roman"/>
                <w:sz w:val="24"/>
                <w:szCs w:val="24"/>
              </w:rPr>
            </w:pPr>
          </w:p>
        </w:tc>
        <w:tc>
          <w:tcPr>
            <w:tcW w:w="900" w:type="dxa"/>
          </w:tcPr>
          <w:p w14:paraId="34D29363" w14:textId="3F030D06" w:rsidR="007E1B0B" w:rsidRPr="000D3717" w:rsidRDefault="007E1B0B" w:rsidP="008D7069">
            <w:pPr>
              <w:rPr>
                <w:rFonts w:ascii="Times New Roman" w:hAnsi="Times New Roman" w:cs="Times New Roman"/>
                <w:sz w:val="24"/>
                <w:szCs w:val="24"/>
              </w:rPr>
            </w:pPr>
            <w:r w:rsidRPr="00DD21DB">
              <w:rPr>
                <w:rFonts w:ascii="Times New Roman" w:hAnsi="Times New Roman" w:cs="Times New Roman"/>
                <w:sz w:val="24"/>
                <w:szCs w:val="24"/>
              </w:rPr>
              <w:t>x</w:t>
            </w:r>
          </w:p>
        </w:tc>
        <w:tc>
          <w:tcPr>
            <w:tcW w:w="2430" w:type="dxa"/>
          </w:tcPr>
          <w:p w14:paraId="0D6D01E7" w14:textId="77777777" w:rsidR="007E1B0B" w:rsidRPr="000D3717" w:rsidRDefault="007E1B0B" w:rsidP="008D7069">
            <w:pPr>
              <w:rPr>
                <w:rFonts w:ascii="Times New Roman" w:hAnsi="Times New Roman" w:cs="Times New Roman"/>
                <w:sz w:val="24"/>
                <w:szCs w:val="24"/>
              </w:rPr>
            </w:pPr>
          </w:p>
        </w:tc>
        <w:tc>
          <w:tcPr>
            <w:tcW w:w="1530" w:type="dxa"/>
          </w:tcPr>
          <w:p w14:paraId="29EEB297" w14:textId="77777777" w:rsidR="007E1B0B" w:rsidRPr="000D3717" w:rsidRDefault="007E1B0B" w:rsidP="008D7069">
            <w:pPr>
              <w:rPr>
                <w:rFonts w:ascii="Times New Roman" w:hAnsi="Times New Roman" w:cs="Times New Roman"/>
                <w:sz w:val="24"/>
                <w:szCs w:val="24"/>
              </w:rPr>
            </w:pPr>
          </w:p>
        </w:tc>
        <w:tc>
          <w:tcPr>
            <w:tcW w:w="2610" w:type="dxa"/>
          </w:tcPr>
          <w:p w14:paraId="4546231F" w14:textId="77777777" w:rsidR="007E1B0B" w:rsidRPr="000D3717" w:rsidRDefault="007E1B0B" w:rsidP="008D7069">
            <w:pPr>
              <w:rPr>
                <w:rFonts w:ascii="Times New Roman" w:hAnsi="Times New Roman" w:cs="Times New Roman"/>
                <w:sz w:val="24"/>
                <w:szCs w:val="24"/>
              </w:rPr>
            </w:pPr>
          </w:p>
        </w:tc>
      </w:tr>
      <w:tr w:rsidR="007E1B0B" w:rsidRPr="000D3717" w14:paraId="749279CE" w14:textId="77777777" w:rsidTr="009B4686">
        <w:trPr>
          <w:trHeight w:val="241"/>
        </w:trPr>
        <w:tc>
          <w:tcPr>
            <w:tcW w:w="1710" w:type="dxa"/>
            <w:vMerge/>
          </w:tcPr>
          <w:p w14:paraId="520616ED" w14:textId="77777777" w:rsidR="007E1B0B" w:rsidRPr="000D3717" w:rsidRDefault="007E1B0B" w:rsidP="008D7069">
            <w:pPr>
              <w:rPr>
                <w:rFonts w:ascii="Times New Roman" w:hAnsi="Times New Roman" w:cs="Times New Roman"/>
                <w:sz w:val="24"/>
                <w:szCs w:val="24"/>
              </w:rPr>
            </w:pPr>
          </w:p>
        </w:tc>
        <w:tc>
          <w:tcPr>
            <w:tcW w:w="4050" w:type="dxa"/>
          </w:tcPr>
          <w:p w14:paraId="4EAA6ED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ketë ndonjë efekt në numrin e specieve në një zonë të caktuar?</w:t>
            </w:r>
          </w:p>
        </w:tc>
        <w:tc>
          <w:tcPr>
            <w:tcW w:w="810" w:type="dxa"/>
          </w:tcPr>
          <w:p w14:paraId="7B6A3744" w14:textId="77777777" w:rsidR="007E1B0B" w:rsidRPr="000D3717" w:rsidRDefault="007E1B0B" w:rsidP="008D7069">
            <w:pPr>
              <w:rPr>
                <w:rFonts w:ascii="Times New Roman" w:hAnsi="Times New Roman" w:cs="Times New Roman"/>
                <w:sz w:val="24"/>
                <w:szCs w:val="24"/>
              </w:rPr>
            </w:pPr>
          </w:p>
        </w:tc>
        <w:tc>
          <w:tcPr>
            <w:tcW w:w="900" w:type="dxa"/>
          </w:tcPr>
          <w:p w14:paraId="34D728C2" w14:textId="1C768288" w:rsidR="007E1B0B" w:rsidRPr="000D3717" w:rsidRDefault="007E1B0B" w:rsidP="008D7069">
            <w:pPr>
              <w:rPr>
                <w:rFonts w:ascii="Times New Roman" w:hAnsi="Times New Roman" w:cs="Times New Roman"/>
                <w:sz w:val="24"/>
                <w:szCs w:val="24"/>
              </w:rPr>
            </w:pPr>
            <w:r w:rsidRPr="00C027D1">
              <w:rPr>
                <w:rFonts w:ascii="Times New Roman" w:hAnsi="Times New Roman" w:cs="Times New Roman"/>
                <w:sz w:val="24"/>
                <w:szCs w:val="24"/>
              </w:rPr>
              <w:t>x</w:t>
            </w:r>
          </w:p>
        </w:tc>
        <w:tc>
          <w:tcPr>
            <w:tcW w:w="2430" w:type="dxa"/>
          </w:tcPr>
          <w:p w14:paraId="3D437A76" w14:textId="77777777" w:rsidR="007E1B0B" w:rsidRPr="000D3717" w:rsidRDefault="007E1B0B" w:rsidP="008D7069">
            <w:pPr>
              <w:rPr>
                <w:rFonts w:ascii="Times New Roman" w:hAnsi="Times New Roman" w:cs="Times New Roman"/>
                <w:sz w:val="24"/>
                <w:szCs w:val="24"/>
              </w:rPr>
            </w:pPr>
          </w:p>
        </w:tc>
        <w:tc>
          <w:tcPr>
            <w:tcW w:w="1530" w:type="dxa"/>
          </w:tcPr>
          <w:p w14:paraId="60BDCE7E" w14:textId="77777777" w:rsidR="007E1B0B" w:rsidRPr="000D3717" w:rsidRDefault="007E1B0B" w:rsidP="008D7069">
            <w:pPr>
              <w:rPr>
                <w:rFonts w:ascii="Times New Roman" w:hAnsi="Times New Roman" w:cs="Times New Roman"/>
                <w:sz w:val="24"/>
                <w:szCs w:val="24"/>
              </w:rPr>
            </w:pPr>
          </w:p>
        </w:tc>
        <w:tc>
          <w:tcPr>
            <w:tcW w:w="2610" w:type="dxa"/>
          </w:tcPr>
          <w:p w14:paraId="6CA79881" w14:textId="77777777" w:rsidR="007E1B0B" w:rsidRPr="000D3717" w:rsidRDefault="007E1B0B" w:rsidP="008D7069">
            <w:pPr>
              <w:rPr>
                <w:rFonts w:ascii="Times New Roman" w:hAnsi="Times New Roman" w:cs="Times New Roman"/>
                <w:sz w:val="24"/>
                <w:szCs w:val="24"/>
              </w:rPr>
            </w:pPr>
          </w:p>
        </w:tc>
      </w:tr>
      <w:tr w:rsidR="007E1B0B" w:rsidRPr="000D3717" w14:paraId="285ACAAF" w14:textId="77777777" w:rsidTr="009B4686">
        <w:trPr>
          <w:trHeight w:val="241"/>
        </w:trPr>
        <w:tc>
          <w:tcPr>
            <w:tcW w:w="1710" w:type="dxa"/>
            <w:vMerge w:val="restart"/>
          </w:tcPr>
          <w:p w14:paraId="3257D83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Mirëqenia e kafshëve</w:t>
            </w:r>
          </w:p>
        </w:tc>
        <w:tc>
          <w:tcPr>
            <w:tcW w:w="4050" w:type="dxa"/>
          </w:tcPr>
          <w:p w14:paraId="6F0F4E2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ndikohet trajtimi i kafshëve?</w:t>
            </w:r>
          </w:p>
        </w:tc>
        <w:tc>
          <w:tcPr>
            <w:tcW w:w="810" w:type="dxa"/>
          </w:tcPr>
          <w:p w14:paraId="39357479" w14:textId="77777777" w:rsidR="007E1B0B" w:rsidRPr="000D3717" w:rsidRDefault="007E1B0B" w:rsidP="008D7069">
            <w:pPr>
              <w:rPr>
                <w:rFonts w:ascii="Times New Roman" w:hAnsi="Times New Roman" w:cs="Times New Roman"/>
                <w:sz w:val="24"/>
                <w:szCs w:val="24"/>
              </w:rPr>
            </w:pPr>
          </w:p>
        </w:tc>
        <w:tc>
          <w:tcPr>
            <w:tcW w:w="900" w:type="dxa"/>
          </w:tcPr>
          <w:p w14:paraId="52C22531" w14:textId="36BAA88C" w:rsidR="007E1B0B" w:rsidRPr="000D3717" w:rsidRDefault="007E1B0B" w:rsidP="008D7069">
            <w:pPr>
              <w:rPr>
                <w:rFonts w:ascii="Times New Roman" w:hAnsi="Times New Roman" w:cs="Times New Roman"/>
                <w:sz w:val="24"/>
                <w:szCs w:val="24"/>
              </w:rPr>
            </w:pPr>
            <w:r w:rsidRPr="00C027D1">
              <w:rPr>
                <w:rFonts w:ascii="Times New Roman" w:hAnsi="Times New Roman" w:cs="Times New Roman"/>
                <w:sz w:val="24"/>
                <w:szCs w:val="24"/>
              </w:rPr>
              <w:t>x</w:t>
            </w:r>
          </w:p>
        </w:tc>
        <w:tc>
          <w:tcPr>
            <w:tcW w:w="2430" w:type="dxa"/>
          </w:tcPr>
          <w:p w14:paraId="7D199D77" w14:textId="77777777" w:rsidR="007E1B0B" w:rsidRPr="000D3717" w:rsidRDefault="007E1B0B" w:rsidP="008D7069">
            <w:pPr>
              <w:rPr>
                <w:rFonts w:ascii="Times New Roman" w:hAnsi="Times New Roman" w:cs="Times New Roman"/>
                <w:sz w:val="24"/>
                <w:szCs w:val="24"/>
              </w:rPr>
            </w:pPr>
          </w:p>
        </w:tc>
        <w:tc>
          <w:tcPr>
            <w:tcW w:w="1530" w:type="dxa"/>
          </w:tcPr>
          <w:p w14:paraId="5ABAE82C" w14:textId="77777777" w:rsidR="007E1B0B" w:rsidRPr="000D3717" w:rsidRDefault="007E1B0B" w:rsidP="008D7069">
            <w:pPr>
              <w:rPr>
                <w:rFonts w:ascii="Times New Roman" w:hAnsi="Times New Roman" w:cs="Times New Roman"/>
                <w:sz w:val="24"/>
                <w:szCs w:val="24"/>
              </w:rPr>
            </w:pPr>
          </w:p>
        </w:tc>
        <w:tc>
          <w:tcPr>
            <w:tcW w:w="2610" w:type="dxa"/>
          </w:tcPr>
          <w:p w14:paraId="4F69C942" w14:textId="77777777" w:rsidR="007E1B0B" w:rsidRPr="000D3717" w:rsidRDefault="007E1B0B" w:rsidP="008D7069">
            <w:pPr>
              <w:rPr>
                <w:rFonts w:ascii="Times New Roman" w:hAnsi="Times New Roman" w:cs="Times New Roman"/>
                <w:sz w:val="24"/>
                <w:szCs w:val="24"/>
              </w:rPr>
            </w:pPr>
          </w:p>
        </w:tc>
      </w:tr>
      <w:tr w:rsidR="007E1B0B" w:rsidRPr="000D3717" w14:paraId="6B42E2A3" w14:textId="77777777" w:rsidTr="009B4686">
        <w:tc>
          <w:tcPr>
            <w:tcW w:w="1710" w:type="dxa"/>
            <w:vMerge/>
          </w:tcPr>
          <w:p w14:paraId="3E1E7005" w14:textId="77777777" w:rsidR="007E1B0B" w:rsidRPr="000D3717" w:rsidRDefault="007E1B0B" w:rsidP="008D7069">
            <w:pPr>
              <w:rPr>
                <w:rFonts w:ascii="Times New Roman" w:hAnsi="Times New Roman" w:cs="Times New Roman"/>
                <w:sz w:val="24"/>
                <w:szCs w:val="24"/>
              </w:rPr>
            </w:pPr>
          </w:p>
        </w:tc>
        <w:tc>
          <w:tcPr>
            <w:tcW w:w="4050" w:type="dxa"/>
          </w:tcPr>
          <w:p w14:paraId="30BC3E7E"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ndikohet shëndeti i kafshëve?</w:t>
            </w:r>
          </w:p>
        </w:tc>
        <w:tc>
          <w:tcPr>
            <w:tcW w:w="810" w:type="dxa"/>
          </w:tcPr>
          <w:p w14:paraId="40B636F9" w14:textId="77777777" w:rsidR="007E1B0B" w:rsidRPr="000D3717" w:rsidRDefault="007E1B0B" w:rsidP="008D7069">
            <w:pPr>
              <w:rPr>
                <w:rFonts w:ascii="Times New Roman" w:hAnsi="Times New Roman" w:cs="Times New Roman"/>
                <w:sz w:val="24"/>
                <w:szCs w:val="24"/>
              </w:rPr>
            </w:pPr>
          </w:p>
        </w:tc>
        <w:tc>
          <w:tcPr>
            <w:tcW w:w="900" w:type="dxa"/>
          </w:tcPr>
          <w:p w14:paraId="2967C813" w14:textId="18D623D8" w:rsidR="007E1B0B" w:rsidRPr="000D3717" w:rsidRDefault="007E1B0B" w:rsidP="008D7069">
            <w:pPr>
              <w:rPr>
                <w:rFonts w:ascii="Times New Roman" w:hAnsi="Times New Roman" w:cs="Times New Roman"/>
                <w:sz w:val="24"/>
                <w:szCs w:val="24"/>
              </w:rPr>
            </w:pPr>
            <w:r w:rsidRPr="00C027D1">
              <w:rPr>
                <w:rFonts w:ascii="Times New Roman" w:hAnsi="Times New Roman" w:cs="Times New Roman"/>
                <w:sz w:val="24"/>
                <w:szCs w:val="24"/>
              </w:rPr>
              <w:t>x</w:t>
            </w:r>
          </w:p>
        </w:tc>
        <w:tc>
          <w:tcPr>
            <w:tcW w:w="2430" w:type="dxa"/>
          </w:tcPr>
          <w:p w14:paraId="0D733DAC" w14:textId="77777777" w:rsidR="007E1B0B" w:rsidRPr="000D3717" w:rsidRDefault="007E1B0B" w:rsidP="008D7069">
            <w:pPr>
              <w:rPr>
                <w:rFonts w:ascii="Times New Roman" w:hAnsi="Times New Roman" w:cs="Times New Roman"/>
                <w:sz w:val="24"/>
                <w:szCs w:val="24"/>
              </w:rPr>
            </w:pPr>
          </w:p>
        </w:tc>
        <w:tc>
          <w:tcPr>
            <w:tcW w:w="1530" w:type="dxa"/>
          </w:tcPr>
          <w:p w14:paraId="1911AEE0" w14:textId="77777777" w:rsidR="007E1B0B" w:rsidRPr="000D3717" w:rsidRDefault="007E1B0B" w:rsidP="008D7069">
            <w:pPr>
              <w:rPr>
                <w:rFonts w:ascii="Times New Roman" w:hAnsi="Times New Roman" w:cs="Times New Roman"/>
                <w:sz w:val="24"/>
                <w:szCs w:val="24"/>
              </w:rPr>
            </w:pPr>
          </w:p>
        </w:tc>
        <w:tc>
          <w:tcPr>
            <w:tcW w:w="2610" w:type="dxa"/>
          </w:tcPr>
          <w:p w14:paraId="566E947A" w14:textId="77777777" w:rsidR="007E1B0B" w:rsidRPr="000D3717" w:rsidRDefault="007E1B0B" w:rsidP="008D7069">
            <w:pPr>
              <w:rPr>
                <w:rFonts w:ascii="Times New Roman" w:hAnsi="Times New Roman" w:cs="Times New Roman"/>
                <w:sz w:val="24"/>
                <w:szCs w:val="24"/>
              </w:rPr>
            </w:pPr>
          </w:p>
        </w:tc>
      </w:tr>
      <w:tr w:rsidR="007E1B0B" w:rsidRPr="000D3717" w14:paraId="1AFDEEC6" w14:textId="77777777" w:rsidTr="009B4686">
        <w:tc>
          <w:tcPr>
            <w:tcW w:w="1710" w:type="dxa"/>
            <w:vMerge/>
          </w:tcPr>
          <w:p w14:paraId="7FFD6AA4" w14:textId="77777777" w:rsidR="007E1B0B" w:rsidRPr="000D3717" w:rsidRDefault="007E1B0B" w:rsidP="008D7069">
            <w:pPr>
              <w:rPr>
                <w:rFonts w:ascii="Times New Roman" w:hAnsi="Times New Roman" w:cs="Times New Roman"/>
                <w:sz w:val="24"/>
                <w:szCs w:val="24"/>
              </w:rPr>
            </w:pPr>
          </w:p>
        </w:tc>
        <w:tc>
          <w:tcPr>
            <w:tcW w:w="4050" w:type="dxa"/>
          </w:tcPr>
          <w:p w14:paraId="37F1174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ndikohet cilësia dhe siguria e ushqimit të kafshëve?</w:t>
            </w:r>
          </w:p>
        </w:tc>
        <w:tc>
          <w:tcPr>
            <w:tcW w:w="810" w:type="dxa"/>
          </w:tcPr>
          <w:p w14:paraId="3716E8D1" w14:textId="77777777" w:rsidR="007E1B0B" w:rsidRPr="000D3717" w:rsidRDefault="007E1B0B" w:rsidP="008D7069">
            <w:pPr>
              <w:rPr>
                <w:rFonts w:ascii="Times New Roman" w:hAnsi="Times New Roman" w:cs="Times New Roman"/>
                <w:sz w:val="24"/>
                <w:szCs w:val="24"/>
              </w:rPr>
            </w:pPr>
          </w:p>
        </w:tc>
        <w:tc>
          <w:tcPr>
            <w:tcW w:w="900" w:type="dxa"/>
          </w:tcPr>
          <w:p w14:paraId="04EE7498" w14:textId="5F680516" w:rsidR="007E1B0B" w:rsidRPr="000D3717" w:rsidRDefault="007E1B0B" w:rsidP="008D7069">
            <w:pPr>
              <w:rPr>
                <w:rFonts w:ascii="Times New Roman" w:hAnsi="Times New Roman" w:cs="Times New Roman"/>
                <w:sz w:val="24"/>
                <w:szCs w:val="24"/>
              </w:rPr>
            </w:pPr>
            <w:r w:rsidRPr="00C027D1">
              <w:rPr>
                <w:rFonts w:ascii="Times New Roman" w:hAnsi="Times New Roman" w:cs="Times New Roman"/>
                <w:sz w:val="24"/>
                <w:szCs w:val="24"/>
              </w:rPr>
              <w:t>x</w:t>
            </w:r>
          </w:p>
        </w:tc>
        <w:tc>
          <w:tcPr>
            <w:tcW w:w="2430" w:type="dxa"/>
          </w:tcPr>
          <w:p w14:paraId="4AFB9674" w14:textId="77777777" w:rsidR="007E1B0B" w:rsidRPr="000D3717" w:rsidRDefault="007E1B0B" w:rsidP="008D7069">
            <w:pPr>
              <w:rPr>
                <w:rFonts w:ascii="Times New Roman" w:hAnsi="Times New Roman" w:cs="Times New Roman"/>
                <w:sz w:val="24"/>
                <w:szCs w:val="24"/>
              </w:rPr>
            </w:pPr>
          </w:p>
        </w:tc>
        <w:tc>
          <w:tcPr>
            <w:tcW w:w="1530" w:type="dxa"/>
          </w:tcPr>
          <w:p w14:paraId="30C7B290" w14:textId="77777777" w:rsidR="007E1B0B" w:rsidRPr="000D3717" w:rsidRDefault="007E1B0B" w:rsidP="008D7069">
            <w:pPr>
              <w:rPr>
                <w:rFonts w:ascii="Times New Roman" w:hAnsi="Times New Roman" w:cs="Times New Roman"/>
                <w:sz w:val="24"/>
                <w:szCs w:val="24"/>
              </w:rPr>
            </w:pPr>
          </w:p>
        </w:tc>
        <w:tc>
          <w:tcPr>
            <w:tcW w:w="2610" w:type="dxa"/>
          </w:tcPr>
          <w:p w14:paraId="781A10A8" w14:textId="77777777" w:rsidR="007E1B0B" w:rsidRPr="000D3717" w:rsidRDefault="007E1B0B" w:rsidP="008D7069">
            <w:pPr>
              <w:rPr>
                <w:rFonts w:ascii="Times New Roman" w:hAnsi="Times New Roman" w:cs="Times New Roman"/>
                <w:sz w:val="24"/>
                <w:szCs w:val="24"/>
              </w:rPr>
            </w:pPr>
          </w:p>
        </w:tc>
      </w:tr>
    </w:tbl>
    <w:p w14:paraId="1ABDF195" w14:textId="77777777" w:rsidR="00DF2517" w:rsidRPr="000D3717" w:rsidRDefault="00180BB0" w:rsidP="00B1424D">
      <w:pPr>
        <w:pStyle w:val="Heading1"/>
        <w:rPr>
          <w:rFonts w:ascii="Times New Roman" w:hAnsi="Times New Roman" w:cs="Times New Roman"/>
          <w:sz w:val="24"/>
          <w:szCs w:val="24"/>
        </w:rPr>
      </w:pPr>
      <w:bookmarkStart w:id="25" w:name="_Toc532388170"/>
      <w:r w:rsidRPr="000D3717">
        <w:rPr>
          <w:rFonts w:ascii="Times New Roman" w:hAnsi="Times New Roman" w:cs="Times New Roman"/>
          <w:sz w:val="24"/>
          <w:szCs w:val="24"/>
        </w:rPr>
        <w:t>Shtojca</w:t>
      </w:r>
      <w:r w:rsidR="00B1424D" w:rsidRPr="000D3717">
        <w:rPr>
          <w:rFonts w:ascii="Times New Roman" w:hAnsi="Times New Roman" w:cs="Times New Roman"/>
          <w:sz w:val="24"/>
          <w:szCs w:val="24"/>
        </w:rPr>
        <w:t xml:space="preserve"> 4</w:t>
      </w:r>
      <w:r w:rsidR="00DF2517" w:rsidRPr="000D3717">
        <w:rPr>
          <w:rFonts w:ascii="Times New Roman" w:hAnsi="Times New Roman" w:cs="Times New Roman"/>
          <w:sz w:val="24"/>
          <w:szCs w:val="24"/>
        </w:rPr>
        <w:t xml:space="preserve">: </w:t>
      </w:r>
      <w:r w:rsidR="00162D8C" w:rsidRPr="000D3717">
        <w:rPr>
          <w:rFonts w:ascii="Times New Roman" w:hAnsi="Times New Roman" w:cs="Times New Roman"/>
          <w:sz w:val="24"/>
          <w:szCs w:val="24"/>
        </w:rPr>
        <w:t>Forma e vlerësimit për ndikim</w:t>
      </w:r>
      <w:r w:rsidR="00623843" w:rsidRPr="000D3717">
        <w:rPr>
          <w:rFonts w:ascii="Times New Roman" w:hAnsi="Times New Roman" w:cs="Times New Roman"/>
          <w:sz w:val="24"/>
          <w:szCs w:val="24"/>
        </w:rPr>
        <w:t>in e të drejtave themelore</w:t>
      </w:r>
      <w:bookmarkEnd w:id="25"/>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0D3717" w14:paraId="3B63C206" w14:textId="77777777" w:rsidTr="009B4686">
        <w:tc>
          <w:tcPr>
            <w:tcW w:w="1710" w:type="dxa"/>
            <w:vMerge w:val="restart"/>
          </w:tcPr>
          <w:p w14:paraId="03E997D5" w14:textId="77777777" w:rsidR="004E6E7B" w:rsidRPr="000D3717" w:rsidRDefault="002D17EC" w:rsidP="004E6E7B">
            <w:pPr>
              <w:rPr>
                <w:rFonts w:ascii="Times New Roman" w:hAnsi="Times New Roman" w:cs="Times New Roman"/>
                <w:b/>
                <w:sz w:val="24"/>
                <w:szCs w:val="24"/>
              </w:rPr>
            </w:pPr>
            <w:r w:rsidRPr="000D3717">
              <w:rPr>
                <w:rFonts w:ascii="Times New Roman" w:hAnsi="Times New Roman" w:cs="Times New Roman"/>
                <w:b/>
                <w:sz w:val="24"/>
                <w:szCs w:val="24"/>
              </w:rPr>
              <w:t>Kategoria e ndikimit në të drejtat themelore</w:t>
            </w:r>
          </w:p>
        </w:tc>
        <w:tc>
          <w:tcPr>
            <w:tcW w:w="4050" w:type="dxa"/>
            <w:vMerge w:val="restart"/>
          </w:tcPr>
          <w:p w14:paraId="33726A6C" w14:textId="77777777" w:rsidR="004E6E7B" w:rsidRPr="000D3717" w:rsidRDefault="002D17EC" w:rsidP="004E6E7B">
            <w:pPr>
              <w:rPr>
                <w:rFonts w:ascii="Times New Roman" w:hAnsi="Times New Roman" w:cs="Times New Roman"/>
                <w:b/>
                <w:sz w:val="24"/>
                <w:szCs w:val="24"/>
              </w:rPr>
            </w:pPr>
            <w:r w:rsidRPr="000D3717">
              <w:rPr>
                <w:rFonts w:ascii="Times New Roman" w:hAnsi="Times New Roman" w:cs="Times New Roman"/>
                <w:b/>
                <w:sz w:val="24"/>
                <w:szCs w:val="24"/>
              </w:rPr>
              <w:t>Ndikimi kryesor</w:t>
            </w:r>
          </w:p>
        </w:tc>
        <w:tc>
          <w:tcPr>
            <w:tcW w:w="1890" w:type="dxa"/>
            <w:gridSpan w:val="2"/>
          </w:tcPr>
          <w:p w14:paraId="476972DF" w14:textId="77777777" w:rsidR="004E6E7B" w:rsidRPr="000D3717" w:rsidRDefault="002D17EC" w:rsidP="004E6E7B">
            <w:pPr>
              <w:rPr>
                <w:rFonts w:ascii="Times New Roman" w:hAnsi="Times New Roman" w:cs="Times New Roman"/>
                <w:b/>
                <w:sz w:val="24"/>
                <w:szCs w:val="24"/>
              </w:rPr>
            </w:pPr>
            <w:r w:rsidRPr="000D3717">
              <w:rPr>
                <w:rFonts w:ascii="Times New Roman" w:hAnsi="Times New Roman" w:cs="Times New Roman"/>
                <w:b/>
                <w:sz w:val="24"/>
                <w:szCs w:val="24"/>
              </w:rPr>
              <w:t>A pritet të ndodhë ky ndikim</w:t>
            </w:r>
            <w:r w:rsidR="004E6E7B" w:rsidRPr="000D3717">
              <w:rPr>
                <w:rFonts w:ascii="Times New Roman" w:hAnsi="Times New Roman" w:cs="Times New Roman"/>
                <w:b/>
                <w:sz w:val="24"/>
                <w:szCs w:val="24"/>
              </w:rPr>
              <w:t>?</w:t>
            </w:r>
          </w:p>
        </w:tc>
        <w:tc>
          <w:tcPr>
            <w:tcW w:w="2250" w:type="dxa"/>
          </w:tcPr>
          <w:p w14:paraId="3368B359"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Numri i organizatave, kompanive dhe/ose individëve të prekur</w:t>
            </w:r>
          </w:p>
        </w:tc>
        <w:tc>
          <w:tcPr>
            <w:tcW w:w="1530" w:type="dxa"/>
          </w:tcPr>
          <w:p w14:paraId="52B52B1B"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Përfitimi i pritshëm ose kostoja e ndikimit</w:t>
            </w:r>
          </w:p>
        </w:tc>
        <w:tc>
          <w:tcPr>
            <w:tcW w:w="2610" w:type="dxa"/>
          </w:tcPr>
          <w:p w14:paraId="0B43997B" w14:textId="77777777" w:rsidR="004E6E7B"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Niveli i preferuar i analizës</w:t>
            </w:r>
          </w:p>
        </w:tc>
      </w:tr>
      <w:tr w:rsidR="002D17EC" w:rsidRPr="000D3717" w14:paraId="72981313" w14:textId="77777777" w:rsidTr="009B4686">
        <w:tc>
          <w:tcPr>
            <w:tcW w:w="1710" w:type="dxa"/>
            <w:vMerge/>
          </w:tcPr>
          <w:p w14:paraId="7D173ED0" w14:textId="77777777" w:rsidR="002D17EC" w:rsidRPr="000D3717" w:rsidRDefault="002D17EC" w:rsidP="004E6E7B">
            <w:pPr>
              <w:rPr>
                <w:rFonts w:ascii="Times New Roman" w:hAnsi="Times New Roman" w:cs="Times New Roman"/>
                <w:b/>
                <w:sz w:val="24"/>
                <w:szCs w:val="24"/>
              </w:rPr>
            </w:pPr>
          </w:p>
        </w:tc>
        <w:tc>
          <w:tcPr>
            <w:tcW w:w="4050" w:type="dxa"/>
            <w:vMerge/>
          </w:tcPr>
          <w:p w14:paraId="7FD19B35" w14:textId="77777777" w:rsidR="002D17EC" w:rsidRPr="000D3717" w:rsidRDefault="002D17EC" w:rsidP="004E6E7B">
            <w:pPr>
              <w:rPr>
                <w:rFonts w:ascii="Times New Roman" w:hAnsi="Times New Roman" w:cs="Times New Roman"/>
                <w:b/>
                <w:sz w:val="24"/>
                <w:szCs w:val="24"/>
              </w:rPr>
            </w:pPr>
          </w:p>
        </w:tc>
        <w:tc>
          <w:tcPr>
            <w:tcW w:w="810" w:type="dxa"/>
          </w:tcPr>
          <w:p w14:paraId="273C44F4" w14:textId="77777777" w:rsidR="002D17EC" w:rsidRPr="000D3717" w:rsidRDefault="002D17EC" w:rsidP="002D17EC">
            <w:pPr>
              <w:rPr>
                <w:rFonts w:ascii="Times New Roman" w:hAnsi="Times New Roman" w:cs="Times New Roman"/>
                <w:b/>
                <w:sz w:val="24"/>
                <w:szCs w:val="24"/>
              </w:rPr>
            </w:pPr>
            <w:r w:rsidRPr="000D3717">
              <w:rPr>
                <w:rFonts w:ascii="Times New Roman" w:hAnsi="Times New Roman" w:cs="Times New Roman"/>
                <w:b/>
                <w:sz w:val="24"/>
                <w:szCs w:val="24"/>
              </w:rPr>
              <w:t>Po</w:t>
            </w:r>
          </w:p>
        </w:tc>
        <w:tc>
          <w:tcPr>
            <w:tcW w:w="1080" w:type="dxa"/>
          </w:tcPr>
          <w:p w14:paraId="4E2E127E" w14:textId="77777777" w:rsidR="002D17EC" w:rsidRPr="000D3717" w:rsidRDefault="002D17EC" w:rsidP="002D17EC">
            <w:pPr>
              <w:rPr>
                <w:rFonts w:ascii="Times New Roman" w:hAnsi="Times New Roman" w:cs="Times New Roman"/>
                <w:b/>
                <w:sz w:val="24"/>
                <w:szCs w:val="24"/>
              </w:rPr>
            </w:pPr>
            <w:r w:rsidRPr="000D3717">
              <w:rPr>
                <w:rFonts w:ascii="Times New Roman" w:hAnsi="Times New Roman" w:cs="Times New Roman"/>
                <w:b/>
                <w:sz w:val="24"/>
                <w:szCs w:val="24"/>
              </w:rPr>
              <w:t>Jo</w:t>
            </w:r>
          </w:p>
        </w:tc>
        <w:tc>
          <w:tcPr>
            <w:tcW w:w="2250" w:type="dxa"/>
          </w:tcPr>
          <w:p w14:paraId="58883B0C" w14:textId="77777777" w:rsidR="002D17EC"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1530" w:type="dxa"/>
          </w:tcPr>
          <w:p w14:paraId="7D4E1BF0" w14:textId="77777777" w:rsidR="002D17EC" w:rsidRPr="000D3717" w:rsidRDefault="00C13D3C" w:rsidP="004E6E7B">
            <w:pPr>
              <w:rPr>
                <w:rFonts w:ascii="Times New Roman" w:hAnsi="Times New Roman" w:cs="Times New Roman"/>
                <w:b/>
                <w:sz w:val="24"/>
                <w:szCs w:val="24"/>
              </w:rPr>
            </w:pPr>
            <w:r w:rsidRPr="000D3717">
              <w:rPr>
                <w:rFonts w:ascii="Times New Roman" w:hAnsi="Times New Roman" w:cs="Times New Roman"/>
                <w:b/>
                <w:sz w:val="24"/>
                <w:szCs w:val="24"/>
              </w:rPr>
              <w:t>I lartë/i ulët</w:t>
            </w:r>
          </w:p>
        </w:tc>
        <w:tc>
          <w:tcPr>
            <w:tcW w:w="2610" w:type="dxa"/>
          </w:tcPr>
          <w:p w14:paraId="3892CB90" w14:textId="77777777" w:rsidR="002D17EC" w:rsidRPr="000D3717" w:rsidRDefault="002D17EC" w:rsidP="004E6E7B">
            <w:pPr>
              <w:rPr>
                <w:rFonts w:ascii="Times New Roman" w:hAnsi="Times New Roman" w:cs="Times New Roman"/>
                <w:b/>
                <w:sz w:val="24"/>
                <w:szCs w:val="24"/>
              </w:rPr>
            </w:pPr>
          </w:p>
        </w:tc>
      </w:tr>
      <w:tr w:rsidR="007E1B0B" w:rsidRPr="000D3717" w14:paraId="2948309E" w14:textId="77777777" w:rsidTr="009B4686">
        <w:tc>
          <w:tcPr>
            <w:tcW w:w="1710" w:type="dxa"/>
          </w:tcPr>
          <w:p w14:paraId="4F20AFD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Dinjiteti</w:t>
            </w:r>
          </w:p>
        </w:tc>
        <w:tc>
          <w:tcPr>
            <w:tcW w:w="4050" w:type="dxa"/>
          </w:tcPr>
          <w:p w14:paraId="3406D9B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dinjitetin e njerëzve, në të drejtën e tyre për jetë apo në integritetin e një personi?</w:t>
            </w:r>
          </w:p>
        </w:tc>
        <w:tc>
          <w:tcPr>
            <w:tcW w:w="810" w:type="dxa"/>
          </w:tcPr>
          <w:p w14:paraId="05DA4E8B" w14:textId="77777777" w:rsidR="007E1B0B" w:rsidRPr="000D3717" w:rsidRDefault="007E1B0B" w:rsidP="008D7069">
            <w:pPr>
              <w:rPr>
                <w:rFonts w:ascii="Times New Roman" w:hAnsi="Times New Roman" w:cs="Times New Roman"/>
                <w:sz w:val="24"/>
                <w:szCs w:val="24"/>
              </w:rPr>
            </w:pPr>
          </w:p>
        </w:tc>
        <w:tc>
          <w:tcPr>
            <w:tcW w:w="1080" w:type="dxa"/>
          </w:tcPr>
          <w:p w14:paraId="2303EBE9" w14:textId="78116426"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687E1312" w14:textId="77777777" w:rsidR="007E1B0B" w:rsidRPr="000D3717" w:rsidRDefault="007E1B0B" w:rsidP="008D7069">
            <w:pPr>
              <w:rPr>
                <w:rFonts w:ascii="Times New Roman" w:hAnsi="Times New Roman" w:cs="Times New Roman"/>
                <w:sz w:val="24"/>
                <w:szCs w:val="24"/>
              </w:rPr>
            </w:pPr>
          </w:p>
        </w:tc>
        <w:tc>
          <w:tcPr>
            <w:tcW w:w="1530" w:type="dxa"/>
          </w:tcPr>
          <w:p w14:paraId="47AE9A0A" w14:textId="77777777" w:rsidR="007E1B0B" w:rsidRPr="000D3717" w:rsidRDefault="007E1B0B" w:rsidP="008D7069">
            <w:pPr>
              <w:rPr>
                <w:rFonts w:ascii="Times New Roman" w:hAnsi="Times New Roman" w:cs="Times New Roman"/>
                <w:sz w:val="24"/>
                <w:szCs w:val="24"/>
              </w:rPr>
            </w:pPr>
          </w:p>
        </w:tc>
        <w:tc>
          <w:tcPr>
            <w:tcW w:w="2610" w:type="dxa"/>
          </w:tcPr>
          <w:p w14:paraId="10585F2E" w14:textId="77777777" w:rsidR="007E1B0B" w:rsidRPr="000D3717" w:rsidRDefault="007E1B0B" w:rsidP="008D7069">
            <w:pPr>
              <w:rPr>
                <w:rFonts w:ascii="Times New Roman" w:hAnsi="Times New Roman" w:cs="Times New Roman"/>
                <w:sz w:val="24"/>
                <w:szCs w:val="24"/>
              </w:rPr>
            </w:pPr>
          </w:p>
        </w:tc>
      </w:tr>
      <w:tr w:rsidR="007E1B0B" w:rsidRPr="000D3717" w14:paraId="36CD17CB" w14:textId="77777777" w:rsidTr="009B4686">
        <w:tc>
          <w:tcPr>
            <w:tcW w:w="1710" w:type="dxa"/>
            <w:vMerge w:val="restart"/>
          </w:tcPr>
          <w:p w14:paraId="517DED1F"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Liria</w:t>
            </w:r>
          </w:p>
        </w:tc>
        <w:tc>
          <w:tcPr>
            <w:tcW w:w="4050" w:type="dxa"/>
          </w:tcPr>
          <w:p w14:paraId="66FEA24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të drejtën e lirisë së individëve?</w:t>
            </w:r>
          </w:p>
        </w:tc>
        <w:tc>
          <w:tcPr>
            <w:tcW w:w="810" w:type="dxa"/>
          </w:tcPr>
          <w:p w14:paraId="51A4DD87" w14:textId="77777777" w:rsidR="007E1B0B" w:rsidRPr="000D3717" w:rsidRDefault="007E1B0B" w:rsidP="008D7069">
            <w:pPr>
              <w:rPr>
                <w:rFonts w:ascii="Times New Roman" w:hAnsi="Times New Roman" w:cs="Times New Roman"/>
                <w:sz w:val="24"/>
                <w:szCs w:val="24"/>
              </w:rPr>
            </w:pPr>
          </w:p>
        </w:tc>
        <w:tc>
          <w:tcPr>
            <w:tcW w:w="1080" w:type="dxa"/>
          </w:tcPr>
          <w:p w14:paraId="3CD36C6B" w14:textId="71155D28"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15F31FB0" w14:textId="77777777" w:rsidR="007E1B0B" w:rsidRPr="000D3717" w:rsidRDefault="007E1B0B" w:rsidP="008D7069">
            <w:pPr>
              <w:rPr>
                <w:rFonts w:ascii="Times New Roman" w:hAnsi="Times New Roman" w:cs="Times New Roman"/>
                <w:sz w:val="24"/>
                <w:szCs w:val="24"/>
              </w:rPr>
            </w:pPr>
          </w:p>
        </w:tc>
        <w:tc>
          <w:tcPr>
            <w:tcW w:w="1530" w:type="dxa"/>
          </w:tcPr>
          <w:p w14:paraId="2B135C1C" w14:textId="77777777" w:rsidR="007E1B0B" w:rsidRPr="000D3717" w:rsidRDefault="007E1B0B" w:rsidP="008D7069">
            <w:pPr>
              <w:rPr>
                <w:rFonts w:ascii="Times New Roman" w:hAnsi="Times New Roman" w:cs="Times New Roman"/>
                <w:sz w:val="24"/>
                <w:szCs w:val="24"/>
              </w:rPr>
            </w:pPr>
          </w:p>
        </w:tc>
        <w:tc>
          <w:tcPr>
            <w:tcW w:w="2610" w:type="dxa"/>
          </w:tcPr>
          <w:p w14:paraId="20C1685A" w14:textId="77777777" w:rsidR="007E1B0B" w:rsidRPr="000D3717" w:rsidRDefault="007E1B0B" w:rsidP="008D7069">
            <w:pPr>
              <w:rPr>
                <w:rFonts w:ascii="Times New Roman" w:hAnsi="Times New Roman" w:cs="Times New Roman"/>
                <w:sz w:val="24"/>
                <w:szCs w:val="24"/>
              </w:rPr>
            </w:pPr>
          </w:p>
        </w:tc>
      </w:tr>
      <w:tr w:rsidR="007E1B0B" w:rsidRPr="000D3717" w14:paraId="465AB4D6" w14:textId="77777777" w:rsidTr="009B4686">
        <w:tc>
          <w:tcPr>
            <w:tcW w:w="1710" w:type="dxa"/>
            <w:vMerge/>
          </w:tcPr>
          <w:p w14:paraId="75168B14" w14:textId="77777777" w:rsidR="007E1B0B" w:rsidRPr="000D3717" w:rsidRDefault="007E1B0B" w:rsidP="008D7069">
            <w:pPr>
              <w:rPr>
                <w:rFonts w:ascii="Times New Roman" w:hAnsi="Times New Roman" w:cs="Times New Roman"/>
                <w:sz w:val="24"/>
                <w:szCs w:val="24"/>
              </w:rPr>
            </w:pPr>
          </w:p>
        </w:tc>
        <w:tc>
          <w:tcPr>
            <w:tcW w:w="4050" w:type="dxa"/>
          </w:tcPr>
          <w:p w14:paraId="7CE2714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të drejtën e një personi për privatësi?</w:t>
            </w:r>
          </w:p>
        </w:tc>
        <w:tc>
          <w:tcPr>
            <w:tcW w:w="810" w:type="dxa"/>
          </w:tcPr>
          <w:p w14:paraId="1620AA1B" w14:textId="77777777" w:rsidR="007E1B0B" w:rsidRPr="000D3717" w:rsidRDefault="007E1B0B" w:rsidP="008D7069">
            <w:pPr>
              <w:rPr>
                <w:rFonts w:ascii="Times New Roman" w:hAnsi="Times New Roman" w:cs="Times New Roman"/>
                <w:sz w:val="24"/>
                <w:szCs w:val="24"/>
              </w:rPr>
            </w:pPr>
          </w:p>
        </w:tc>
        <w:tc>
          <w:tcPr>
            <w:tcW w:w="1080" w:type="dxa"/>
          </w:tcPr>
          <w:p w14:paraId="7E2A8447" w14:textId="32B705B3"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40219A05" w14:textId="77777777" w:rsidR="007E1B0B" w:rsidRPr="000D3717" w:rsidRDefault="007E1B0B" w:rsidP="008D7069">
            <w:pPr>
              <w:rPr>
                <w:rFonts w:ascii="Times New Roman" w:hAnsi="Times New Roman" w:cs="Times New Roman"/>
                <w:sz w:val="24"/>
                <w:szCs w:val="24"/>
              </w:rPr>
            </w:pPr>
          </w:p>
        </w:tc>
        <w:tc>
          <w:tcPr>
            <w:tcW w:w="1530" w:type="dxa"/>
          </w:tcPr>
          <w:p w14:paraId="641E7FF7" w14:textId="77777777" w:rsidR="007E1B0B" w:rsidRPr="000D3717" w:rsidRDefault="007E1B0B" w:rsidP="008D7069">
            <w:pPr>
              <w:rPr>
                <w:rFonts w:ascii="Times New Roman" w:hAnsi="Times New Roman" w:cs="Times New Roman"/>
                <w:sz w:val="24"/>
                <w:szCs w:val="24"/>
              </w:rPr>
            </w:pPr>
          </w:p>
        </w:tc>
        <w:tc>
          <w:tcPr>
            <w:tcW w:w="2610" w:type="dxa"/>
          </w:tcPr>
          <w:p w14:paraId="012011E2" w14:textId="77777777" w:rsidR="007E1B0B" w:rsidRPr="000D3717" w:rsidRDefault="007E1B0B" w:rsidP="008D7069">
            <w:pPr>
              <w:rPr>
                <w:rFonts w:ascii="Times New Roman" w:hAnsi="Times New Roman" w:cs="Times New Roman"/>
                <w:sz w:val="24"/>
                <w:szCs w:val="24"/>
              </w:rPr>
            </w:pPr>
          </w:p>
        </w:tc>
      </w:tr>
      <w:tr w:rsidR="007E1B0B" w:rsidRPr="000D3717" w14:paraId="22360591" w14:textId="77777777" w:rsidTr="009B4686">
        <w:tc>
          <w:tcPr>
            <w:tcW w:w="1710" w:type="dxa"/>
            <w:vMerge/>
          </w:tcPr>
          <w:p w14:paraId="20D85641" w14:textId="77777777" w:rsidR="007E1B0B" w:rsidRPr="000D3717" w:rsidRDefault="007E1B0B" w:rsidP="008D7069">
            <w:pPr>
              <w:rPr>
                <w:rFonts w:ascii="Times New Roman" w:hAnsi="Times New Roman" w:cs="Times New Roman"/>
                <w:sz w:val="24"/>
                <w:szCs w:val="24"/>
              </w:rPr>
            </w:pPr>
          </w:p>
        </w:tc>
        <w:tc>
          <w:tcPr>
            <w:tcW w:w="4050" w:type="dxa"/>
          </w:tcPr>
          <w:p w14:paraId="2671B8C2"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të drejtën për t’u martuar apo krijuar familje?</w:t>
            </w:r>
          </w:p>
        </w:tc>
        <w:tc>
          <w:tcPr>
            <w:tcW w:w="810" w:type="dxa"/>
          </w:tcPr>
          <w:p w14:paraId="73C9A657" w14:textId="77777777" w:rsidR="007E1B0B" w:rsidRPr="000D3717" w:rsidRDefault="007E1B0B" w:rsidP="008D7069">
            <w:pPr>
              <w:rPr>
                <w:rFonts w:ascii="Times New Roman" w:hAnsi="Times New Roman" w:cs="Times New Roman"/>
                <w:sz w:val="24"/>
                <w:szCs w:val="24"/>
              </w:rPr>
            </w:pPr>
          </w:p>
        </w:tc>
        <w:tc>
          <w:tcPr>
            <w:tcW w:w="1080" w:type="dxa"/>
          </w:tcPr>
          <w:p w14:paraId="19FF5CD5" w14:textId="080A993F"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7499095A" w14:textId="77777777" w:rsidR="007E1B0B" w:rsidRPr="000D3717" w:rsidRDefault="007E1B0B" w:rsidP="008D7069">
            <w:pPr>
              <w:rPr>
                <w:rFonts w:ascii="Times New Roman" w:hAnsi="Times New Roman" w:cs="Times New Roman"/>
                <w:sz w:val="24"/>
                <w:szCs w:val="24"/>
              </w:rPr>
            </w:pPr>
          </w:p>
        </w:tc>
        <w:tc>
          <w:tcPr>
            <w:tcW w:w="1530" w:type="dxa"/>
          </w:tcPr>
          <w:p w14:paraId="2E08C7D2" w14:textId="77777777" w:rsidR="007E1B0B" w:rsidRPr="000D3717" w:rsidRDefault="007E1B0B" w:rsidP="008D7069">
            <w:pPr>
              <w:rPr>
                <w:rFonts w:ascii="Times New Roman" w:hAnsi="Times New Roman" w:cs="Times New Roman"/>
                <w:sz w:val="24"/>
                <w:szCs w:val="24"/>
              </w:rPr>
            </w:pPr>
          </w:p>
        </w:tc>
        <w:tc>
          <w:tcPr>
            <w:tcW w:w="2610" w:type="dxa"/>
          </w:tcPr>
          <w:p w14:paraId="21E67C29" w14:textId="77777777" w:rsidR="007E1B0B" w:rsidRPr="000D3717" w:rsidRDefault="007E1B0B" w:rsidP="008D7069">
            <w:pPr>
              <w:rPr>
                <w:rFonts w:ascii="Times New Roman" w:hAnsi="Times New Roman" w:cs="Times New Roman"/>
                <w:sz w:val="24"/>
                <w:szCs w:val="24"/>
              </w:rPr>
            </w:pPr>
          </w:p>
        </w:tc>
      </w:tr>
      <w:tr w:rsidR="007E1B0B" w:rsidRPr="000D3717" w14:paraId="0000D505" w14:textId="77777777" w:rsidTr="009B4686">
        <w:tc>
          <w:tcPr>
            <w:tcW w:w="1710" w:type="dxa"/>
            <w:vMerge/>
          </w:tcPr>
          <w:p w14:paraId="0D8048E5" w14:textId="77777777" w:rsidR="007E1B0B" w:rsidRPr="000D3717" w:rsidRDefault="007E1B0B" w:rsidP="008D7069">
            <w:pPr>
              <w:rPr>
                <w:rFonts w:ascii="Times New Roman" w:hAnsi="Times New Roman" w:cs="Times New Roman"/>
                <w:sz w:val="24"/>
                <w:szCs w:val="24"/>
              </w:rPr>
            </w:pPr>
          </w:p>
        </w:tc>
        <w:tc>
          <w:tcPr>
            <w:tcW w:w="4050" w:type="dxa"/>
          </w:tcPr>
          <w:p w14:paraId="0D793C0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mbrojtjen ligjore, ekonomike ose shoqërore të individëve apo familjes?</w:t>
            </w:r>
          </w:p>
        </w:tc>
        <w:tc>
          <w:tcPr>
            <w:tcW w:w="810" w:type="dxa"/>
          </w:tcPr>
          <w:p w14:paraId="7F00B347" w14:textId="77777777" w:rsidR="007E1B0B" w:rsidRPr="000D3717" w:rsidRDefault="007E1B0B" w:rsidP="008D7069">
            <w:pPr>
              <w:rPr>
                <w:rFonts w:ascii="Times New Roman" w:hAnsi="Times New Roman" w:cs="Times New Roman"/>
                <w:sz w:val="24"/>
                <w:szCs w:val="24"/>
              </w:rPr>
            </w:pPr>
          </w:p>
        </w:tc>
        <w:tc>
          <w:tcPr>
            <w:tcW w:w="1080" w:type="dxa"/>
          </w:tcPr>
          <w:p w14:paraId="58EAA9B8" w14:textId="056BDA78"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3D7DECA8" w14:textId="77777777" w:rsidR="007E1B0B" w:rsidRPr="000D3717" w:rsidRDefault="007E1B0B" w:rsidP="008D7069">
            <w:pPr>
              <w:rPr>
                <w:rFonts w:ascii="Times New Roman" w:hAnsi="Times New Roman" w:cs="Times New Roman"/>
                <w:sz w:val="24"/>
                <w:szCs w:val="24"/>
              </w:rPr>
            </w:pPr>
          </w:p>
        </w:tc>
        <w:tc>
          <w:tcPr>
            <w:tcW w:w="1530" w:type="dxa"/>
          </w:tcPr>
          <w:p w14:paraId="22ECC9B1" w14:textId="77777777" w:rsidR="007E1B0B" w:rsidRPr="000D3717" w:rsidRDefault="007E1B0B" w:rsidP="008D7069">
            <w:pPr>
              <w:rPr>
                <w:rFonts w:ascii="Times New Roman" w:hAnsi="Times New Roman" w:cs="Times New Roman"/>
                <w:sz w:val="24"/>
                <w:szCs w:val="24"/>
              </w:rPr>
            </w:pPr>
          </w:p>
        </w:tc>
        <w:tc>
          <w:tcPr>
            <w:tcW w:w="2610" w:type="dxa"/>
          </w:tcPr>
          <w:p w14:paraId="71024AEA" w14:textId="77777777" w:rsidR="007E1B0B" w:rsidRPr="000D3717" w:rsidRDefault="007E1B0B" w:rsidP="008D7069">
            <w:pPr>
              <w:rPr>
                <w:rFonts w:ascii="Times New Roman" w:hAnsi="Times New Roman" w:cs="Times New Roman"/>
                <w:sz w:val="24"/>
                <w:szCs w:val="24"/>
              </w:rPr>
            </w:pPr>
          </w:p>
        </w:tc>
      </w:tr>
      <w:tr w:rsidR="007E1B0B" w:rsidRPr="000D3717" w14:paraId="09827705" w14:textId="77777777" w:rsidTr="009B4686">
        <w:tc>
          <w:tcPr>
            <w:tcW w:w="1710" w:type="dxa"/>
            <w:vMerge/>
          </w:tcPr>
          <w:p w14:paraId="3AF8C468" w14:textId="77777777" w:rsidR="007E1B0B" w:rsidRPr="000D3717" w:rsidRDefault="007E1B0B" w:rsidP="008D7069">
            <w:pPr>
              <w:rPr>
                <w:rFonts w:ascii="Times New Roman" w:hAnsi="Times New Roman" w:cs="Times New Roman"/>
                <w:sz w:val="24"/>
                <w:szCs w:val="24"/>
              </w:rPr>
            </w:pPr>
          </w:p>
        </w:tc>
        <w:tc>
          <w:tcPr>
            <w:tcW w:w="4050" w:type="dxa"/>
          </w:tcPr>
          <w:p w14:paraId="7493AE5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lirinë e mendimit, ndërgjegjes apo fesë? </w:t>
            </w:r>
          </w:p>
        </w:tc>
        <w:tc>
          <w:tcPr>
            <w:tcW w:w="810" w:type="dxa"/>
          </w:tcPr>
          <w:p w14:paraId="6093F7BA" w14:textId="77777777" w:rsidR="007E1B0B" w:rsidRPr="000D3717" w:rsidRDefault="007E1B0B" w:rsidP="008D7069">
            <w:pPr>
              <w:rPr>
                <w:rFonts w:ascii="Times New Roman" w:hAnsi="Times New Roman" w:cs="Times New Roman"/>
                <w:sz w:val="24"/>
                <w:szCs w:val="24"/>
              </w:rPr>
            </w:pPr>
          </w:p>
        </w:tc>
        <w:tc>
          <w:tcPr>
            <w:tcW w:w="1080" w:type="dxa"/>
          </w:tcPr>
          <w:p w14:paraId="2793765C" w14:textId="0CA3CC22"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5F306E74" w14:textId="77777777" w:rsidR="007E1B0B" w:rsidRPr="000D3717" w:rsidRDefault="007E1B0B" w:rsidP="008D7069">
            <w:pPr>
              <w:rPr>
                <w:rFonts w:ascii="Times New Roman" w:hAnsi="Times New Roman" w:cs="Times New Roman"/>
                <w:sz w:val="24"/>
                <w:szCs w:val="24"/>
              </w:rPr>
            </w:pPr>
          </w:p>
        </w:tc>
        <w:tc>
          <w:tcPr>
            <w:tcW w:w="1530" w:type="dxa"/>
          </w:tcPr>
          <w:p w14:paraId="600A3979" w14:textId="77777777" w:rsidR="007E1B0B" w:rsidRPr="000D3717" w:rsidRDefault="007E1B0B" w:rsidP="008D7069">
            <w:pPr>
              <w:rPr>
                <w:rFonts w:ascii="Times New Roman" w:hAnsi="Times New Roman" w:cs="Times New Roman"/>
                <w:sz w:val="24"/>
                <w:szCs w:val="24"/>
              </w:rPr>
            </w:pPr>
          </w:p>
        </w:tc>
        <w:tc>
          <w:tcPr>
            <w:tcW w:w="2610" w:type="dxa"/>
          </w:tcPr>
          <w:p w14:paraId="034BAEED" w14:textId="77777777" w:rsidR="007E1B0B" w:rsidRPr="000D3717" w:rsidRDefault="007E1B0B" w:rsidP="008D7069">
            <w:pPr>
              <w:rPr>
                <w:rFonts w:ascii="Times New Roman" w:hAnsi="Times New Roman" w:cs="Times New Roman"/>
                <w:sz w:val="24"/>
                <w:szCs w:val="24"/>
              </w:rPr>
            </w:pPr>
          </w:p>
        </w:tc>
      </w:tr>
      <w:tr w:rsidR="007E1B0B" w:rsidRPr="000D3717" w14:paraId="3F20ABE4" w14:textId="77777777" w:rsidTr="009B4686">
        <w:tc>
          <w:tcPr>
            <w:tcW w:w="1710" w:type="dxa"/>
            <w:vMerge/>
          </w:tcPr>
          <w:p w14:paraId="6D1CA1C7" w14:textId="77777777" w:rsidR="007E1B0B" w:rsidRPr="000D3717" w:rsidRDefault="007E1B0B" w:rsidP="008D7069">
            <w:pPr>
              <w:rPr>
                <w:rFonts w:ascii="Times New Roman" w:hAnsi="Times New Roman" w:cs="Times New Roman"/>
                <w:sz w:val="24"/>
                <w:szCs w:val="24"/>
              </w:rPr>
            </w:pPr>
          </w:p>
        </w:tc>
        <w:tc>
          <w:tcPr>
            <w:tcW w:w="4050" w:type="dxa"/>
          </w:tcPr>
          <w:p w14:paraId="7E775181"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lirinë e shprehjes? </w:t>
            </w:r>
          </w:p>
        </w:tc>
        <w:tc>
          <w:tcPr>
            <w:tcW w:w="810" w:type="dxa"/>
          </w:tcPr>
          <w:p w14:paraId="427ECD74" w14:textId="77777777" w:rsidR="007E1B0B" w:rsidRPr="000D3717" w:rsidRDefault="007E1B0B" w:rsidP="008D7069">
            <w:pPr>
              <w:rPr>
                <w:rFonts w:ascii="Times New Roman" w:hAnsi="Times New Roman" w:cs="Times New Roman"/>
                <w:sz w:val="24"/>
                <w:szCs w:val="24"/>
              </w:rPr>
            </w:pPr>
          </w:p>
        </w:tc>
        <w:tc>
          <w:tcPr>
            <w:tcW w:w="1080" w:type="dxa"/>
          </w:tcPr>
          <w:p w14:paraId="159CC445" w14:textId="25BCC201"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3A223879" w14:textId="77777777" w:rsidR="007E1B0B" w:rsidRPr="000D3717" w:rsidRDefault="007E1B0B" w:rsidP="008D7069">
            <w:pPr>
              <w:rPr>
                <w:rFonts w:ascii="Times New Roman" w:hAnsi="Times New Roman" w:cs="Times New Roman"/>
                <w:sz w:val="24"/>
                <w:szCs w:val="24"/>
              </w:rPr>
            </w:pPr>
          </w:p>
        </w:tc>
        <w:tc>
          <w:tcPr>
            <w:tcW w:w="1530" w:type="dxa"/>
          </w:tcPr>
          <w:p w14:paraId="4DDD56A5" w14:textId="77777777" w:rsidR="007E1B0B" w:rsidRPr="000D3717" w:rsidRDefault="007E1B0B" w:rsidP="008D7069">
            <w:pPr>
              <w:rPr>
                <w:rFonts w:ascii="Times New Roman" w:hAnsi="Times New Roman" w:cs="Times New Roman"/>
                <w:sz w:val="24"/>
                <w:szCs w:val="24"/>
              </w:rPr>
            </w:pPr>
          </w:p>
        </w:tc>
        <w:tc>
          <w:tcPr>
            <w:tcW w:w="2610" w:type="dxa"/>
          </w:tcPr>
          <w:p w14:paraId="3F51C5DE" w14:textId="77777777" w:rsidR="007E1B0B" w:rsidRPr="000D3717" w:rsidRDefault="007E1B0B" w:rsidP="008D7069">
            <w:pPr>
              <w:rPr>
                <w:rFonts w:ascii="Times New Roman" w:hAnsi="Times New Roman" w:cs="Times New Roman"/>
                <w:sz w:val="24"/>
                <w:szCs w:val="24"/>
              </w:rPr>
            </w:pPr>
          </w:p>
        </w:tc>
      </w:tr>
      <w:tr w:rsidR="007E1B0B" w:rsidRPr="000D3717" w14:paraId="3B473DD6" w14:textId="77777777" w:rsidTr="009B4686">
        <w:tc>
          <w:tcPr>
            <w:tcW w:w="1710" w:type="dxa"/>
            <w:vMerge/>
          </w:tcPr>
          <w:p w14:paraId="636F264A" w14:textId="77777777" w:rsidR="007E1B0B" w:rsidRPr="000D3717" w:rsidRDefault="007E1B0B" w:rsidP="008D7069">
            <w:pPr>
              <w:rPr>
                <w:rFonts w:ascii="Times New Roman" w:hAnsi="Times New Roman" w:cs="Times New Roman"/>
                <w:sz w:val="24"/>
                <w:szCs w:val="24"/>
              </w:rPr>
            </w:pPr>
          </w:p>
        </w:tc>
        <w:tc>
          <w:tcPr>
            <w:tcW w:w="4050" w:type="dxa"/>
          </w:tcPr>
          <w:p w14:paraId="3A1CC444"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ndikon opsioni në lirinë e tubimit ose </w:t>
            </w:r>
            <w:proofErr w:type="spellStart"/>
            <w:r w:rsidRPr="000D3717">
              <w:rPr>
                <w:rFonts w:ascii="Times New Roman" w:hAnsi="Times New Roman" w:cs="Times New Roman"/>
                <w:sz w:val="24"/>
                <w:szCs w:val="24"/>
              </w:rPr>
              <w:t>asociimit</w:t>
            </w:r>
            <w:proofErr w:type="spellEnd"/>
            <w:r w:rsidRPr="000D3717">
              <w:rPr>
                <w:rFonts w:ascii="Times New Roman" w:hAnsi="Times New Roman" w:cs="Times New Roman"/>
                <w:sz w:val="24"/>
                <w:szCs w:val="24"/>
              </w:rPr>
              <w:t>?</w:t>
            </w:r>
          </w:p>
        </w:tc>
        <w:tc>
          <w:tcPr>
            <w:tcW w:w="810" w:type="dxa"/>
          </w:tcPr>
          <w:p w14:paraId="7CA2474E" w14:textId="77777777" w:rsidR="007E1B0B" w:rsidRPr="000D3717" w:rsidRDefault="007E1B0B" w:rsidP="008D7069">
            <w:pPr>
              <w:rPr>
                <w:rFonts w:ascii="Times New Roman" w:hAnsi="Times New Roman" w:cs="Times New Roman"/>
                <w:sz w:val="24"/>
                <w:szCs w:val="24"/>
              </w:rPr>
            </w:pPr>
          </w:p>
        </w:tc>
        <w:tc>
          <w:tcPr>
            <w:tcW w:w="1080" w:type="dxa"/>
          </w:tcPr>
          <w:p w14:paraId="78967D09" w14:textId="15563B6D"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4047AC4B" w14:textId="77777777" w:rsidR="007E1B0B" w:rsidRPr="000D3717" w:rsidRDefault="007E1B0B" w:rsidP="008D7069">
            <w:pPr>
              <w:rPr>
                <w:rFonts w:ascii="Times New Roman" w:hAnsi="Times New Roman" w:cs="Times New Roman"/>
                <w:sz w:val="24"/>
                <w:szCs w:val="24"/>
              </w:rPr>
            </w:pPr>
          </w:p>
        </w:tc>
        <w:tc>
          <w:tcPr>
            <w:tcW w:w="1530" w:type="dxa"/>
          </w:tcPr>
          <w:p w14:paraId="18A993FD" w14:textId="77777777" w:rsidR="007E1B0B" w:rsidRPr="000D3717" w:rsidRDefault="007E1B0B" w:rsidP="008D7069">
            <w:pPr>
              <w:rPr>
                <w:rFonts w:ascii="Times New Roman" w:hAnsi="Times New Roman" w:cs="Times New Roman"/>
                <w:sz w:val="24"/>
                <w:szCs w:val="24"/>
              </w:rPr>
            </w:pPr>
          </w:p>
        </w:tc>
        <w:tc>
          <w:tcPr>
            <w:tcW w:w="2610" w:type="dxa"/>
          </w:tcPr>
          <w:p w14:paraId="3C9F031D" w14:textId="77777777" w:rsidR="007E1B0B" w:rsidRPr="000D3717" w:rsidRDefault="007E1B0B" w:rsidP="008D7069">
            <w:pPr>
              <w:rPr>
                <w:rFonts w:ascii="Times New Roman" w:hAnsi="Times New Roman" w:cs="Times New Roman"/>
                <w:sz w:val="24"/>
                <w:szCs w:val="24"/>
              </w:rPr>
            </w:pPr>
          </w:p>
        </w:tc>
      </w:tr>
      <w:tr w:rsidR="007E1B0B" w:rsidRPr="000D3717" w14:paraId="5646AD15" w14:textId="77777777" w:rsidTr="009B4686">
        <w:tc>
          <w:tcPr>
            <w:tcW w:w="1710" w:type="dxa"/>
            <w:vMerge w:val="restart"/>
          </w:tcPr>
          <w:p w14:paraId="371C0D7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Të dhënat personale</w:t>
            </w:r>
          </w:p>
        </w:tc>
        <w:tc>
          <w:tcPr>
            <w:tcW w:w="4050" w:type="dxa"/>
          </w:tcPr>
          <w:p w14:paraId="4A3D561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përfshin opsioni përpunimin e të dhënave personale?</w:t>
            </w:r>
          </w:p>
        </w:tc>
        <w:tc>
          <w:tcPr>
            <w:tcW w:w="810" w:type="dxa"/>
          </w:tcPr>
          <w:p w14:paraId="2E1C6B40" w14:textId="77777777" w:rsidR="007E1B0B" w:rsidRPr="000D3717" w:rsidRDefault="007E1B0B" w:rsidP="008D7069">
            <w:pPr>
              <w:rPr>
                <w:rFonts w:ascii="Times New Roman" w:hAnsi="Times New Roman" w:cs="Times New Roman"/>
                <w:sz w:val="24"/>
                <w:szCs w:val="24"/>
              </w:rPr>
            </w:pPr>
          </w:p>
        </w:tc>
        <w:tc>
          <w:tcPr>
            <w:tcW w:w="1080" w:type="dxa"/>
          </w:tcPr>
          <w:p w14:paraId="134B4740" w14:textId="32AB48C8" w:rsidR="007E1B0B" w:rsidRPr="000D3717" w:rsidRDefault="007E1B0B" w:rsidP="008D7069">
            <w:pPr>
              <w:rPr>
                <w:rFonts w:ascii="Times New Roman" w:hAnsi="Times New Roman" w:cs="Times New Roman"/>
                <w:sz w:val="24"/>
                <w:szCs w:val="24"/>
              </w:rPr>
            </w:pPr>
            <w:r w:rsidRPr="001974EC">
              <w:rPr>
                <w:rFonts w:ascii="Times New Roman" w:hAnsi="Times New Roman" w:cs="Times New Roman"/>
                <w:sz w:val="24"/>
                <w:szCs w:val="24"/>
              </w:rPr>
              <w:t>x</w:t>
            </w:r>
          </w:p>
        </w:tc>
        <w:tc>
          <w:tcPr>
            <w:tcW w:w="2250" w:type="dxa"/>
          </w:tcPr>
          <w:p w14:paraId="49F9234A" w14:textId="77777777" w:rsidR="007E1B0B" w:rsidRPr="000D3717" w:rsidRDefault="007E1B0B" w:rsidP="008D7069">
            <w:pPr>
              <w:rPr>
                <w:rFonts w:ascii="Times New Roman" w:hAnsi="Times New Roman" w:cs="Times New Roman"/>
                <w:sz w:val="24"/>
                <w:szCs w:val="24"/>
              </w:rPr>
            </w:pPr>
          </w:p>
        </w:tc>
        <w:tc>
          <w:tcPr>
            <w:tcW w:w="1530" w:type="dxa"/>
          </w:tcPr>
          <w:p w14:paraId="75CB9AD5" w14:textId="77777777" w:rsidR="007E1B0B" w:rsidRPr="000D3717" w:rsidRDefault="007E1B0B" w:rsidP="008D7069">
            <w:pPr>
              <w:rPr>
                <w:rFonts w:ascii="Times New Roman" w:hAnsi="Times New Roman" w:cs="Times New Roman"/>
                <w:sz w:val="24"/>
                <w:szCs w:val="24"/>
              </w:rPr>
            </w:pPr>
          </w:p>
        </w:tc>
        <w:tc>
          <w:tcPr>
            <w:tcW w:w="2610" w:type="dxa"/>
          </w:tcPr>
          <w:p w14:paraId="1EFFCC20" w14:textId="77777777" w:rsidR="007E1B0B" w:rsidRPr="000D3717" w:rsidRDefault="007E1B0B" w:rsidP="008D7069">
            <w:pPr>
              <w:rPr>
                <w:rFonts w:ascii="Times New Roman" w:hAnsi="Times New Roman" w:cs="Times New Roman"/>
                <w:sz w:val="24"/>
                <w:szCs w:val="24"/>
              </w:rPr>
            </w:pPr>
          </w:p>
        </w:tc>
      </w:tr>
      <w:tr w:rsidR="007E1B0B" w:rsidRPr="000D3717" w14:paraId="74D7F229" w14:textId="77777777" w:rsidTr="009B4686">
        <w:tc>
          <w:tcPr>
            <w:tcW w:w="1710" w:type="dxa"/>
            <w:vMerge/>
          </w:tcPr>
          <w:p w14:paraId="706AE714" w14:textId="77777777" w:rsidR="007E1B0B" w:rsidRPr="000D3717" w:rsidRDefault="007E1B0B" w:rsidP="008D7069">
            <w:pPr>
              <w:rPr>
                <w:rFonts w:ascii="Times New Roman" w:hAnsi="Times New Roman" w:cs="Times New Roman"/>
                <w:sz w:val="24"/>
                <w:szCs w:val="24"/>
              </w:rPr>
            </w:pPr>
          </w:p>
        </w:tc>
        <w:tc>
          <w:tcPr>
            <w:tcW w:w="4050" w:type="dxa"/>
          </w:tcPr>
          <w:p w14:paraId="502FCC0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janë të drejtat e individit për qasje, korrigjim dhe kundërshtim të garantuara?</w:t>
            </w:r>
          </w:p>
        </w:tc>
        <w:tc>
          <w:tcPr>
            <w:tcW w:w="810" w:type="dxa"/>
          </w:tcPr>
          <w:p w14:paraId="54B3C3D9" w14:textId="77777777" w:rsidR="007E1B0B" w:rsidRPr="000D3717" w:rsidRDefault="007E1B0B" w:rsidP="008D7069">
            <w:pPr>
              <w:rPr>
                <w:rFonts w:ascii="Times New Roman" w:hAnsi="Times New Roman" w:cs="Times New Roman"/>
                <w:sz w:val="24"/>
                <w:szCs w:val="24"/>
              </w:rPr>
            </w:pPr>
          </w:p>
        </w:tc>
        <w:tc>
          <w:tcPr>
            <w:tcW w:w="1080" w:type="dxa"/>
          </w:tcPr>
          <w:p w14:paraId="0F6D2D5B" w14:textId="3BCEFC61"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6A71C782" w14:textId="77777777" w:rsidR="007E1B0B" w:rsidRPr="000D3717" w:rsidRDefault="007E1B0B" w:rsidP="008D7069">
            <w:pPr>
              <w:rPr>
                <w:rFonts w:ascii="Times New Roman" w:hAnsi="Times New Roman" w:cs="Times New Roman"/>
                <w:sz w:val="24"/>
                <w:szCs w:val="24"/>
              </w:rPr>
            </w:pPr>
          </w:p>
        </w:tc>
        <w:tc>
          <w:tcPr>
            <w:tcW w:w="1530" w:type="dxa"/>
          </w:tcPr>
          <w:p w14:paraId="29FFC30F" w14:textId="77777777" w:rsidR="007E1B0B" w:rsidRPr="000D3717" w:rsidRDefault="007E1B0B" w:rsidP="008D7069">
            <w:pPr>
              <w:rPr>
                <w:rFonts w:ascii="Times New Roman" w:hAnsi="Times New Roman" w:cs="Times New Roman"/>
                <w:sz w:val="24"/>
                <w:szCs w:val="24"/>
              </w:rPr>
            </w:pPr>
          </w:p>
        </w:tc>
        <w:tc>
          <w:tcPr>
            <w:tcW w:w="2610" w:type="dxa"/>
          </w:tcPr>
          <w:p w14:paraId="53EAE174" w14:textId="77777777" w:rsidR="007E1B0B" w:rsidRPr="000D3717" w:rsidRDefault="007E1B0B" w:rsidP="008D7069">
            <w:pPr>
              <w:rPr>
                <w:rFonts w:ascii="Times New Roman" w:hAnsi="Times New Roman" w:cs="Times New Roman"/>
                <w:sz w:val="24"/>
                <w:szCs w:val="24"/>
              </w:rPr>
            </w:pPr>
          </w:p>
        </w:tc>
      </w:tr>
      <w:tr w:rsidR="007E1B0B" w:rsidRPr="000D3717" w14:paraId="7785E191" w14:textId="77777777" w:rsidTr="009B4686">
        <w:tc>
          <w:tcPr>
            <w:tcW w:w="1710" w:type="dxa"/>
            <w:vMerge/>
          </w:tcPr>
          <w:p w14:paraId="1B71F2A0" w14:textId="77777777" w:rsidR="007E1B0B" w:rsidRPr="000D3717" w:rsidRDefault="007E1B0B" w:rsidP="008D7069">
            <w:pPr>
              <w:rPr>
                <w:rFonts w:ascii="Times New Roman" w:hAnsi="Times New Roman" w:cs="Times New Roman"/>
                <w:sz w:val="24"/>
                <w:szCs w:val="24"/>
              </w:rPr>
            </w:pPr>
          </w:p>
        </w:tc>
        <w:tc>
          <w:tcPr>
            <w:tcW w:w="4050" w:type="dxa"/>
          </w:tcPr>
          <w:p w14:paraId="7D75B4F8"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është e qartë dhe e mbrojtur mirë mënyra në të cilën përpunohen të dhënat personale?</w:t>
            </w:r>
          </w:p>
        </w:tc>
        <w:tc>
          <w:tcPr>
            <w:tcW w:w="810" w:type="dxa"/>
          </w:tcPr>
          <w:p w14:paraId="27AC8DEC" w14:textId="77777777" w:rsidR="007E1B0B" w:rsidRPr="000D3717" w:rsidRDefault="007E1B0B" w:rsidP="008D7069">
            <w:pPr>
              <w:rPr>
                <w:rFonts w:ascii="Times New Roman" w:hAnsi="Times New Roman" w:cs="Times New Roman"/>
                <w:sz w:val="24"/>
                <w:szCs w:val="24"/>
              </w:rPr>
            </w:pPr>
          </w:p>
        </w:tc>
        <w:tc>
          <w:tcPr>
            <w:tcW w:w="1080" w:type="dxa"/>
          </w:tcPr>
          <w:p w14:paraId="21CD6C14" w14:textId="4F1F1A1C"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60B810D5" w14:textId="77777777" w:rsidR="007E1B0B" w:rsidRPr="000D3717" w:rsidRDefault="007E1B0B" w:rsidP="008D7069">
            <w:pPr>
              <w:rPr>
                <w:rFonts w:ascii="Times New Roman" w:hAnsi="Times New Roman" w:cs="Times New Roman"/>
                <w:sz w:val="24"/>
                <w:szCs w:val="24"/>
              </w:rPr>
            </w:pPr>
          </w:p>
        </w:tc>
        <w:tc>
          <w:tcPr>
            <w:tcW w:w="1530" w:type="dxa"/>
          </w:tcPr>
          <w:p w14:paraId="106AA5DB" w14:textId="77777777" w:rsidR="007E1B0B" w:rsidRPr="000D3717" w:rsidRDefault="007E1B0B" w:rsidP="008D7069">
            <w:pPr>
              <w:rPr>
                <w:rFonts w:ascii="Times New Roman" w:hAnsi="Times New Roman" w:cs="Times New Roman"/>
                <w:sz w:val="24"/>
                <w:szCs w:val="24"/>
              </w:rPr>
            </w:pPr>
          </w:p>
        </w:tc>
        <w:tc>
          <w:tcPr>
            <w:tcW w:w="2610" w:type="dxa"/>
          </w:tcPr>
          <w:p w14:paraId="66697A4E" w14:textId="77777777" w:rsidR="007E1B0B" w:rsidRPr="000D3717" w:rsidRDefault="007E1B0B" w:rsidP="008D7069">
            <w:pPr>
              <w:rPr>
                <w:rFonts w:ascii="Times New Roman" w:hAnsi="Times New Roman" w:cs="Times New Roman"/>
                <w:sz w:val="24"/>
                <w:szCs w:val="24"/>
              </w:rPr>
            </w:pPr>
          </w:p>
        </w:tc>
      </w:tr>
      <w:tr w:rsidR="007E1B0B" w:rsidRPr="000D3717" w14:paraId="59EF567A" w14:textId="77777777" w:rsidTr="009B4686">
        <w:tc>
          <w:tcPr>
            <w:tcW w:w="1710" w:type="dxa"/>
          </w:tcPr>
          <w:p w14:paraId="662B72B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Azili</w:t>
            </w:r>
          </w:p>
        </w:tc>
        <w:tc>
          <w:tcPr>
            <w:tcW w:w="4050" w:type="dxa"/>
          </w:tcPr>
          <w:p w14:paraId="2BDC6D7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ky opsioni në të drejtën për azil?</w:t>
            </w:r>
          </w:p>
        </w:tc>
        <w:tc>
          <w:tcPr>
            <w:tcW w:w="810" w:type="dxa"/>
          </w:tcPr>
          <w:p w14:paraId="4260FED2" w14:textId="77777777" w:rsidR="007E1B0B" w:rsidRPr="000D3717" w:rsidRDefault="007E1B0B" w:rsidP="008D7069">
            <w:pPr>
              <w:rPr>
                <w:rFonts w:ascii="Times New Roman" w:hAnsi="Times New Roman" w:cs="Times New Roman"/>
                <w:sz w:val="24"/>
                <w:szCs w:val="24"/>
              </w:rPr>
            </w:pPr>
          </w:p>
        </w:tc>
        <w:tc>
          <w:tcPr>
            <w:tcW w:w="1080" w:type="dxa"/>
          </w:tcPr>
          <w:p w14:paraId="1E1C90CA" w14:textId="72A15666"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48EB4855" w14:textId="77777777" w:rsidR="007E1B0B" w:rsidRPr="000D3717" w:rsidRDefault="007E1B0B" w:rsidP="008D7069">
            <w:pPr>
              <w:rPr>
                <w:rFonts w:ascii="Times New Roman" w:hAnsi="Times New Roman" w:cs="Times New Roman"/>
                <w:sz w:val="24"/>
                <w:szCs w:val="24"/>
              </w:rPr>
            </w:pPr>
          </w:p>
        </w:tc>
        <w:tc>
          <w:tcPr>
            <w:tcW w:w="1530" w:type="dxa"/>
          </w:tcPr>
          <w:p w14:paraId="0542D281" w14:textId="77777777" w:rsidR="007E1B0B" w:rsidRPr="000D3717" w:rsidRDefault="007E1B0B" w:rsidP="008D7069">
            <w:pPr>
              <w:rPr>
                <w:rFonts w:ascii="Times New Roman" w:hAnsi="Times New Roman" w:cs="Times New Roman"/>
                <w:sz w:val="24"/>
                <w:szCs w:val="24"/>
              </w:rPr>
            </w:pPr>
          </w:p>
        </w:tc>
        <w:tc>
          <w:tcPr>
            <w:tcW w:w="2610" w:type="dxa"/>
          </w:tcPr>
          <w:p w14:paraId="6F92485F" w14:textId="77777777" w:rsidR="007E1B0B" w:rsidRPr="000D3717" w:rsidRDefault="007E1B0B" w:rsidP="008D7069">
            <w:pPr>
              <w:rPr>
                <w:rFonts w:ascii="Times New Roman" w:hAnsi="Times New Roman" w:cs="Times New Roman"/>
                <w:sz w:val="24"/>
                <w:szCs w:val="24"/>
              </w:rPr>
            </w:pPr>
          </w:p>
        </w:tc>
      </w:tr>
      <w:tr w:rsidR="007E1B0B" w:rsidRPr="000D3717" w14:paraId="5D4FA2D9" w14:textId="77777777" w:rsidTr="009B4686">
        <w:tc>
          <w:tcPr>
            <w:tcW w:w="1710" w:type="dxa"/>
            <w:vMerge w:val="restart"/>
          </w:tcPr>
          <w:p w14:paraId="4DD56ACC"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Të drejtat pronësore</w:t>
            </w:r>
          </w:p>
        </w:tc>
        <w:tc>
          <w:tcPr>
            <w:tcW w:w="4050" w:type="dxa"/>
          </w:tcPr>
          <w:p w14:paraId="0F6F043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ndikohen të drejtat e pronësisë?</w:t>
            </w:r>
          </w:p>
        </w:tc>
        <w:tc>
          <w:tcPr>
            <w:tcW w:w="810" w:type="dxa"/>
          </w:tcPr>
          <w:p w14:paraId="31010E8A" w14:textId="77777777" w:rsidR="007E1B0B" w:rsidRPr="000D3717" w:rsidRDefault="007E1B0B" w:rsidP="008D7069">
            <w:pPr>
              <w:rPr>
                <w:rFonts w:ascii="Times New Roman" w:hAnsi="Times New Roman" w:cs="Times New Roman"/>
                <w:sz w:val="24"/>
                <w:szCs w:val="24"/>
              </w:rPr>
            </w:pPr>
          </w:p>
        </w:tc>
        <w:tc>
          <w:tcPr>
            <w:tcW w:w="1080" w:type="dxa"/>
          </w:tcPr>
          <w:p w14:paraId="1097A132" w14:textId="6C63D77B"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240FC592" w14:textId="77777777" w:rsidR="007E1B0B" w:rsidRPr="000D3717" w:rsidRDefault="007E1B0B" w:rsidP="008D7069">
            <w:pPr>
              <w:rPr>
                <w:rFonts w:ascii="Times New Roman" w:hAnsi="Times New Roman" w:cs="Times New Roman"/>
                <w:sz w:val="24"/>
                <w:szCs w:val="24"/>
              </w:rPr>
            </w:pPr>
          </w:p>
        </w:tc>
        <w:tc>
          <w:tcPr>
            <w:tcW w:w="1530" w:type="dxa"/>
          </w:tcPr>
          <w:p w14:paraId="0C1B33AE" w14:textId="77777777" w:rsidR="007E1B0B" w:rsidRPr="000D3717" w:rsidRDefault="007E1B0B" w:rsidP="008D7069">
            <w:pPr>
              <w:rPr>
                <w:rFonts w:ascii="Times New Roman" w:hAnsi="Times New Roman" w:cs="Times New Roman"/>
                <w:sz w:val="24"/>
                <w:szCs w:val="24"/>
              </w:rPr>
            </w:pPr>
          </w:p>
        </w:tc>
        <w:tc>
          <w:tcPr>
            <w:tcW w:w="2610" w:type="dxa"/>
          </w:tcPr>
          <w:p w14:paraId="0A9A5230" w14:textId="77777777" w:rsidR="007E1B0B" w:rsidRPr="000D3717" w:rsidRDefault="007E1B0B" w:rsidP="008D7069">
            <w:pPr>
              <w:rPr>
                <w:rFonts w:ascii="Times New Roman" w:hAnsi="Times New Roman" w:cs="Times New Roman"/>
                <w:sz w:val="24"/>
                <w:szCs w:val="24"/>
              </w:rPr>
            </w:pPr>
          </w:p>
        </w:tc>
      </w:tr>
      <w:tr w:rsidR="007E1B0B" w:rsidRPr="000D3717" w14:paraId="2089BA96" w14:textId="77777777" w:rsidTr="009B4686">
        <w:tc>
          <w:tcPr>
            <w:tcW w:w="1710" w:type="dxa"/>
            <w:vMerge/>
          </w:tcPr>
          <w:p w14:paraId="53274D80" w14:textId="77777777" w:rsidR="007E1B0B" w:rsidRPr="000D3717" w:rsidRDefault="007E1B0B" w:rsidP="008D7069">
            <w:pPr>
              <w:rPr>
                <w:rFonts w:ascii="Times New Roman" w:hAnsi="Times New Roman" w:cs="Times New Roman"/>
                <w:sz w:val="24"/>
                <w:szCs w:val="24"/>
              </w:rPr>
            </w:pPr>
          </w:p>
        </w:tc>
        <w:tc>
          <w:tcPr>
            <w:tcW w:w="4050" w:type="dxa"/>
          </w:tcPr>
          <w:p w14:paraId="25D50C35"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lirinë për të bërë biznes?</w:t>
            </w:r>
          </w:p>
        </w:tc>
        <w:tc>
          <w:tcPr>
            <w:tcW w:w="810" w:type="dxa"/>
          </w:tcPr>
          <w:p w14:paraId="79420586" w14:textId="77777777" w:rsidR="007E1B0B" w:rsidRPr="000D3717" w:rsidRDefault="007E1B0B" w:rsidP="008D7069">
            <w:pPr>
              <w:rPr>
                <w:rFonts w:ascii="Times New Roman" w:hAnsi="Times New Roman" w:cs="Times New Roman"/>
                <w:sz w:val="24"/>
                <w:szCs w:val="24"/>
              </w:rPr>
            </w:pPr>
          </w:p>
        </w:tc>
        <w:tc>
          <w:tcPr>
            <w:tcW w:w="1080" w:type="dxa"/>
          </w:tcPr>
          <w:p w14:paraId="74DACF53" w14:textId="597CB63E"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0950A7DB" w14:textId="77777777" w:rsidR="007E1B0B" w:rsidRPr="000D3717" w:rsidRDefault="007E1B0B" w:rsidP="008D7069">
            <w:pPr>
              <w:rPr>
                <w:rFonts w:ascii="Times New Roman" w:hAnsi="Times New Roman" w:cs="Times New Roman"/>
                <w:sz w:val="24"/>
                <w:szCs w:val="24"/>
              </w:rPr>
            </w:pPr>
          </w:p>
        </w:tc>
        <w:tc>
          <w:tcPr>
            <w:tcW w:w="1530" w:type="dxa"/>
          </w:tcPr>
          <w:p w14:paraId="7644240B" w14:textId="77777777" w:rsidR="007E1B0B" w:rsidRPr="000D3717" w:rsidRDefault="007E1B0B" w:rsidP="008D7069">
            <w:pPr>
              <w:rPr>
                <w:rFonts w:ascii="Times New Roman" w:hAnsi="Times New Roman" w:cs="Times New Roman"/>
                <w:sz w:val="24"/>
                <w:szCs w:val="24"/>
              </w:rPr>
            </w:pPr>
          </w:p>
        </w:tc>
        <w:tc>
          <w:tcPr>
            <w:tcW w:w="2610" w:type="dxa"/>
          </w:tcPr>
          <w:p w14:paraId="2F27AFA3" w14:textId="77777777" w:rsidR="007E1B0B" w:rsidRPr="000D3717" w:rsidRDefault="007E1B0B" w:rsidP="008D7069">
            <w:pPr>
              <w:rPr>
                <w:rFonts w:ascii="Times New Roman" w:hAnsi="Times New Roman" w:cs="Times New Roman"/>
                <w:sz w:val="24"/>
                <w:szCs w:val="24"/>
              </w:rPr>
            </w:pPr>
          </w:p>
        </w:tc>
      </w:tr>
      <w:tr w:rsidR="007E1B0B" w:rsidRPr="000D3717" w14:paraId="3D2DB424" w14:textId="77777777" w:rsidTr="009B4686">
        <w:tc>
          <w:tcPr>
            <w:tcW w:w="1710" w:type="dxa"/>
          </w:tcPr>
          <w:p w14:paraId="5EC7D313"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Trajtimi i barabartë</w:t>
            </w:r>
            <w:r w:rsidRPr="000D3717">
              <w:rPr>
                <w:rStyle w:val="FootnoteReference"/>
                <w:rFonts w:ascii="Times New Roman" w:hAnsi="Times New Roman" w:cs="Times New Roman"/>
                <w:sz w:val="24"/>
                <w:szCs w:val="24"/>
                <w:vertAlign w:val="baseline"/>
              </w:rPr>
              <w:t xml:space="preserve"> </w:t>
            </w:r>
            <w:r w:rsidRPr="000D3717">
              <w:rPr>
                <w:rStyle w:val="FootnoteReference"/>
                <w:rFonts w:ascii="Times New Roman" w:hAnsi="Times New Roman" w:cs="Times New Roman"/>
                <w:sz w:val="24"/>
                <w:szCs w:val="24"/>
              </w:rPr>
              <w:footnoteReference w:id="26"/>
            </w:r>
          </w:p>
        </w:tc>
        <w:tc>
          <w:tcPr>
            <w:tcW w:w="4050" w:type="dxa"/>
          </w:tcPr>
          <w:p w14:paraId="32F95DC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e mbron opsioni parimin e barazisë para ligjit? </w:t>
            </w:r>
          </w:p>
        </w:tc>
        <w:tc>
          <w:tcPr>
            <w:tcW w:w="810" w:type="dxa"/>
          </w:tcPr>
          <w:p w14:paraId="238FD8B7" w14:textId="77777777" w:rsidR="007E1B0B" w:rsidRPr="000D3717" w:rsidRDefault="007E1B0B" w:rsidP="008D7069">
            <w:pPr>
              <w:rPr>
                <w:rFonts w:ascii="Times New Roman" w:hAnsi="Times New Roman" w:cs="Times New Roman"/>
                <w:sz w:val="24"/>
                <w:szCs w:val="24"/>
              </w:rPr>
            </w:pPr>
          </w:p>
        </w:tc>
        <w:tc>
          <w:tcPr>
            <w:tcW w:w="1080" w:type="dxa"/>
          </w:tcPr>
          <w:p w14:paraId="60799F26" w14:textId="5BB550B9"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34DB5743" w14:textId="77777777" w:rsidR="007E1B0B" w:rsidRPr="000D3717" w:rsidRDefault="007E1B0B" w:rsidP="008D7069">
            <w:pPr>
              <w:rPr>
                <w:rFonts w:ascii="Times New Roman" w:hAnsi="Times New Roman" w:cs="Times New Roman"/>
                <w:sz w:val="24"/>
                <w:szCs w:val="24"/>
              </w:rPr>
            </w:pPr>
          </w:p>
        </w:tc>
        <w:tc>
          <w:tcPr>
            <w:tcW w:w="1530" w:type="dxa"/>
          </w:tcPr>
          <w:p w14:paraId="5DAF72BD" w14:textId="77777777" w:rsidR="007E1B0B" w:rsidRPr="000D3717" w:rsidRDefault="007E1B0B" w:rsidP="008D7069">
            <w:pPr>
              <w:rPr>
                <w:rFonts w:ascii="Times New Roman" w:hAnsi="Times New Roman" w:cs="Times New Roman"/>
                <w:sz w:val="24"/>
                <w:szCs w:val="24"/>
              </w:rPr>
            </w:pPr>
          </w:p>
        </w:tc>
        <w:tc>
          <w:tcPr>
            <w:tcW w:w="2610" w:type="dxa"/>
          </w:tcPr>
          <w:p w14:paraId="2ED1AEDA" w14:textId="77777777" w:rsidR="007E1B0B" w:rsidRPr="000D3717" w:rsidRDefault="007E1B0B" w:rsidP="008D7069">
            <w:pPr>
              <w:rPr>
                <w:rFonts w:ascii="Times New Roman" w:hAnsi="Times New Roman" w:cs="Times New Roman"/>
                <w:sz w:val="24"/>
                <w:szCs w:val="24"/>
              </w:rPr>
            </w:pPr>
          </w:p>
        </w:tc>
      </w:tr>
      <w:tr w:rsidR="007E1B0B" w:rsidRPr="000D3717" w14:paraId="595E478E" w14:textId="77777777" w:rsidTr="009B4686">
        <w:tc>
          <w:tcPr>
            <w:tcW w:w="1710" w:type="dxa"/>
          </w:tcPr>
          <w:p w14:paraId="1D64A5D7" w14:textId="77777777" w:rsidR="007E1B0B" w:rsidRPr="000D3717" w:rsidRDefault="007E1B0B" w:rsidP="008D7069">
            <w:pPr>
              <w:rPr>
                <w:rFonts w:ascii="Times New Roman" w:hAnsi="Times New Roman" w:cs="Times New Roman"/>
                <w:sz w:val="24"/>
                <w:szCs w:val="24"/>
              </w:rPr>
            </w:pPr>
          </w:p>
        </w:tc>
        <w:tc>
          <w:tcPr>
            <w:tcW w:w="4050" w:type="dxa"/>
          </w:tcPr>
          <w:p w14:paraId="393AFE00" w14:textId="77777777" w:rsidR="007E1B0B" w:rsidRPr="000D3717" w:rsidRDefault="007E1B0B" w:rsidP="009579D8">
            <w:pPr>
              <w:rPr>
                <w:rFonts w:ascii="Times New Roman" w:hAnsi="Times New Roman" w:cs="Times New Roman"/>
                <w:sz w:val="24"/>
                <w:szCs w:val="24"/>
              </w:rPr>
            </w:pPr>
            <w:r w:rsidRPr="000D3717">
              <w:rPr>
                <w:rFonts w:ascii="Times New Roman" w:hAnsi="Times New Roman" w:cs="Times New Roman"/>
                <w:sz w:val="24"/>
                <w:szCs w:val="24"/>
              </w:rPr>
              <w:t xml:space="preserve">A ka gjasa që grupe të caktuara do të dëmtohen në mënyrë </w:t>
            </w:r>
            <w:proofErr w:type="spellStart"/>
            <w:r w:rsidRPr="000D3717">
              <w:rPr>
                <w:rFonts w:ascii="Times New Roman" w:hAnsi="Times New Roman" w:cs="Times New Roman"/>
                <w:sz w:val="24"/>
                <w:szCs w:val="24"/>
              </w:rPr>
              <w:t>direkte</w:t>
            </w:r>
            <w:proofErr w:type="spellEnd"/>
            <w:r w:rsidRPr="000D3717">
              <w:rPr>
                <w:rFonts w:ascii="Times New Roman" w:hAnsi="Times New Roman" w:cs="Times New Roman"/>
                <w:sz w:val="24"/>
                <w:szCs w:val="24"/>
              </w:rPr>
              <w:t xml:space="preserve"> apo indirekte nga diskriminimi (p.sh. ndonjë diskriminim në bazë  gjinore, racore, ngjyre, etnie, opinioni politik ose tjetër, moshe ose orientimi seksual)? </w:t>
            </w:r>
          </w:p>
        </w:tc>
        <w:tc>
          <w:tcPr>
            <w:tcW w:w="810" w:type="dxa"/>
          </w:tcPr>
          <w:p w14:paraId="272F1820" w14:textId="77777777" w:rsidR="007E1B0B" w:rsidRPr="000D3717" w:rsidRDefault="007E1B0B" w:rsidP="008D7069">
            <w:pPr>
              <w:rPr>
                <w:rFonts w:ascii="Times New Roman" w:hAnsi="Times New Roman" w:cs="Times New Roman"/>
                <w:sz w:val="24"/>
                <w:szCs w:val="24"/>
              </w:rPr>
            </w:pPr>
          </w:p>
        </w:tc>
        <w:tc>
          <w:tcPr>
            <w:tcW w:w="1080" w:type="dxa"/>
          </w:tcPr>
          <w:p w14:paraId="54BD3A19" w14:textId="0C743040" w:rsidR="007E1B0B" w:rsidRPr="000D3717" w:rsidRDefault="007E1B0B" w:rsidP="008D7069">
            <w:pPr>
              <w:rPr>
                <w:rFonts w:ascii="Times New Roman" w:hAnsi="Times New Roman" w:cs="Times New Roman"/>
                <w:sz w:val="24"/>
                <w:szCs w:val="24"/>
              </w:rPr>
            </w:pPr>
            <w:r w:rsidRPr="008E0100">
              <w:rPr>
                <w:rFonts w:ascii="Times New Roman" w:hAnsi="Times New Roman" w:cs="Times New Roman"/>
                <w:sz w:val="24"/>
                <w:szCs w:val="24"/>
              </w:rPr>
              <w:t>x</w:t>
            </w:r>
          </w:p>
        </w:tc>
        <w:tc>
          <w:tcPr>
            <w:tcW w:w="2250" w:type="dxa"/>
          </w:tcPr>
          <w:p w14:paraId="7A6AACF1" w14:textId="77777777" w:rsidR="007E1B0B" w:rsidRPr="000D3717" w:rsidRDefault="007E1B0B" w:rsidP="008D7069">
            <w:pPr>
              <w:rPr>
                <w:rFonts w:ascii="Times New Roman" w:hAnsi="Times New Roman" w:cs="Times New Roman"/>
                <w:sz w:val="24"/>
                <w:szCs w:val="24"/>
              </w:rPr>
            </w:pPr>
          </w:p>
        </w:tc>
        <w:tc>
          <w:tcPr>
            <w:tcW w:w="1530" w:type="dxa"/>
          </w:tcPr>
          <w:p w14:paraId="69798DEA" w14:textId="77777777" w:rsidR="007E1B0B" w:rsidRPr="000D3717" w:rsidRDefault="007E1B0B" w:rsidP="008D7069">
            <w:pPr>
              <w:rPr>
                <w:rFonts w:ascii="Times New Roman" w:hAnsi="Times New Roman" w:cs="Times New Roman"/>
                <w:sz w:val="24"/>
                <w:szCs w:val="24"/>
              </w:rPr>
            </w:pPr>
          </w:p>
        </w:tc>
        <w:tc>
          <w:tcPr>
            <w:tcW w:w="2610" w:type="dxa"/>
          </w:tcPr>
          <w:p w14:paraId="7746274A" w14:textId="77777777" w:rsidR="007E1B0B" w:rsidRPr="000D3717" w:rsidRDefault="007E1B0B" w:rsidP="008D7069">
            <w:pPr>
              <w:rPr>
                <w:rFonts w:ascii="Times New Roman" w:hAnsi="Times New Roman" w:cs="Times New Roman"/>
                <w:sz w:val="24"/>
                <w:szCs w:val="24"/>
              </w:rPr>
            </w:pPr>
          </w:p>
        </w:tc>
      </w:tr>
      <w:tr w:rsidR="007E1B0B" w:rsidRPr="000D3717" w14:paraId="403E2B51" w14:textId="77777777" w:rsidTr="009B4686">
        <w:tc>
          <w:tcPr>
            <w:tcW w:w="1710" w:type="dxa"/>
          </w:tcPr>
          <w:p w14:paraId="10EBEE3A" w14:textId="77777777" w:rsidR="007E1B0B" w:rsidRPr="000D3717" w:rsidRDefault="007E1B0B" w:rsidP="008D7069">
            <w:pPr>
              <w:rPr>
                <w:rFonts w:ascii="Times New Roman" w:hAnsi="Times New Roman" w:cs="Times New Roman"/>
                <w:sz w:val="24"/>
                <w:szCs w:val="24"/>
              </w:rPr>
            </w:pPr>
          </w:p>
        </w:tc>
        <w:tc>
          <w:tcPr>
            <w:tcW w:w="4050" w:type="dxa"/>
          </w:tcPr>
          <w:p w14:paraId="461EE02A"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të drejtat e personave me aftësi të kufizuara?</w:t>
            </w:r>
          </w:p>
        </w:tc>
        <w:tc>
          <w:tcPr>
            <w:tcW w:w="810" w:type="dxa"/>
          </w:tcPr>
          <w:p w14:paraId="298A94D5" w14:textId="77777777" w:rsidR="007E1B0B" w:rsidRPr="000D3717" w:rsidRDefault="007E1B0B" w:rsidP="008D7069">
            <w:pPr>
              <w:rPr>
                <w:rFonts w:ascii="Times New Roman" w:hAnsi="Times New Roman" w:cs="Times New Roman"/>
                <w:sz w:val="24"/>
                <w:szCs w:val="24"/>
              </w:rPr>
            </w:pPr>
          </w:p>
        </w:tc>
        <w:tc>
          <w:tcPr>
            <w:tcW w:w="1080" w:type="dxa"/>
          </w:tcPr>
          <w:p w14:paraId="447C8698" w14:textId="3A3EC3C6" w:rsidR="007E1B0B" w:rsidRPr="000D3717" w:rsidRDefault="007E1B0B" w:rsidP="008D7069">
            <w:pPr>
              <w:rPr>
                <w:rFonts w:ascii="Times New Roman" w:hAnsi="Times New Roman" w:cs="Times New Roman"/>
                <w:sz w:val="24"/>
                <w:szCs w:val="24"/>
              </w:rPr>
            </w:pPr>
            <w:r w:rsidRPr="00F8188D">
              <w:rPr>
                <w:rFonts w:ascii="Times New Roman" w:hAnsi="Times New Roman" w:cs="Times New Roman"/>
                <w:sz w:val="24"/>
                <w:szCs w:val="24"/>
              </w:rPr>
              <w:t>x</w:t>
            </w:r>
          </w:p>
        </w:tc>
        <w:tc>
          <w:tcPr>
            <w:tcW w:w="2250" w:type="dxa"/>
          </w:tcPr>
          <w:p w14:paraId="78445F8A" w14:textId="77777777" w:rsidR="007E1B0B" w:rsidRPr="000D3717" w:rsidRDefault="007E1B0B" w:rsidP="008D7069">
            <w:pPr>
              <w:rPr>
                <w:rFonts w:ascii="Times New Roman" w:hAnsi="Times New Roman" w:cs="Times New Roman"/>
                <w:sz w:val="24"/>
                <w:szCs w:val="24"/>
              </w:rPr>
            </w:pPr>
          </w:p>
        </w:tc>
        <w:tc>
          <w:tcPr>
            <w:tcW w:w="1530" w:type="dxa"/>
          </w:tcPr>
          <w:p w14:paraId="721227AB" w14:textId="77777777" w:rsidR="007E1B0B" w:rsidRPr="000D3717" w:rsidRDefault="007E1B0B" w:rsidP="008D7069">
            <w:pPr>
              <w:rPr>
                <w:rFonts w:ascii="Times New Roman" w:hAnsi="Times New Roman" w:cs="Times New Roman"/>
                <w:sz w:val="24"/>
                <w:szCs w:val="24"/>
              </w:rPr>
            </w:pPr>
          </w:p>
        </w:tc>
        <w:tc>
          <w:tcPr>
            <w:tcW w:w="2610" w:type="dxa"/>
          </w:tcPr>
          <w:p w14:paraId="3D88B2BF" w14:textId="77777777" w:rsidR="007E1B0B" w:rsidRPr="000D3717" w:rsidRDefault="007E1B0B" w:rsidP="008D7069">
            <w:pPr>
              <w:rPr>
                <w:rFonts w:ascii="Times New Roman" w:hAnsi="Times New Roman" w:cs="Times New Roman"/>
                <w:sz w:val="24"/>
                <w:szCs w:val="24"/>
              </w:rPr>
            </w:pPr>
          </w:p>
        </w:tc>
      </w:tr>
      <w:tr w:rsidR="007E1B0B" w:rsidRPr="000D3717" w14:paraId="4F32CE11" w14:textId="77777777" w:rsidTr="009B4686">
        <w:tc>
          <w:tcPr>
            <w:tcW w:w="1710" w:type="dxa"/>
          </w:tcPr>
          <w:p w14:paraId="2C10ABC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Të drejtat e fëmijëve</w:t>
            </w:r>
          </w:p>
        </w:tc>
        <w:tc>
          <w:tcPr>
            <w:tcW w:w="4050" w:type="dxa"/>
          </w:tcPr>
          <w:p w14:paraId="169AB39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ndikon opsioni në të drejtat e fëmijëve?</w:t>
            </w:r>
          </w:p>
        </w:tc>
        <w:tc>
          <w:tcPr>
            <w:tcW w:w="810" w:type="dxa"/>
          </w:tcPr>
          <w:p w14:paraId="47E911A2" w14:textId="77777777" w:rsidR="007E1B0B" w:rsidRPr="000D3717" w:rsidRDefault="007E1B0B" w:rsidP="008D7069">
            <w:pPr>
              <w:rPr>
                <w:rFonts w:ascii="Times New Roman" w:hAnsi="Times New Roman" w:cs="Times New Roman"/>
                <w:sz w:val="24"/>
                <w:szCs w:val="24"/>
              </w:rPr>
            </w:pPr>
          </w:p>
        </w:tc>
        <w:tc>
          <w:tcPr>
            <w:tcW w:w="1080" w:type="dxa"/>
          </w:tcPr>
          <w:p w14:paraId="535642E6" w14:textId="55C71830" w:rsidR="007E1B0B" w:rsidRPr="000D3717" w:rsidRDefault="007E1B0B" w:rsidP="008D7069">
            <w:pPr>
              <w:rPr>
                <w:rFonts w:ascii="Times New Roman" w:hAnsi="Times New Roman" w:cs="Times New Roman"/>
                <w:sz w:val="24"/>
                <w:szCs w:val="24"/>
              </w:rPr>
            </w:pPr>
            <w:r w:rsidRPr="00F8188D">
              <w:rPr>
                <w:rFonts w:ascii="Times New Roman" w:hAnsi="Times New Roman" w:cs="Times New Roman"/>
                <w:sz w:val="24"/>
                <w:szCs w:val="24"/>
              </w:rPr>
              <w:t>x</w:t>
            </w:r>
          </w:p>
        </w:tc>
        <w:tc>
          <w:tcPr>
            <w:tcW w:w="2250" w:type="dxa"/>
          </w:tcPr>
          <w:p w14:paraId="2F516399" w14:textId="77777777" w:rsidR="007E1B0B" w:rsidRPr="000D3717" w:rsidRDefault="007E1B0B" w:rsidP="008D7069">
            <w:pPr>
              <w:rPr>
                <w:rFonts w:ascii="Times New Roman" w:hAnsi="Times New Roman" w:cs="Times New Roman"/>
                <w:sz w:val="24"/>
                <w:szCs w:val="24"/>
              </w:rPr>
            </w:pPr>
          </w:p>
        </w:tc>
        <w:tc>
          <w:tcPr>
            <w:tcW w:w="1530" w:type="dxa"/>
          </w:tcPr>
          <w:p w14:paraId="6066A997" w14:textId="77777777" w:rsidR="007E1B0B" w:rsidRPr="000D3717" w:rsidRDefault="007E1B0B" w:rsidP="008D7069">
            <w:pPr>
              <w:rPr>
                <w:rFonts w:ascii="Times New Roman" w:hAnsi="Times New Roman" w:cs="Times New Roman"/>
                <w:sz w:val="24"/>
                <w:szCs w:val="24"/>
              </w:rPr>
            </w:pPr>
          </w:p>
        </w:tc>
        <w:tc>
          <w:tcPr>
            <w:tcW w:w="2610" w:type="dxa"/>
          </w:tcPr>
          <w:p w14:paraId="5D84EADB" w14:textId="77777777" w:rsidR="007E1B0B" w:rsidRPr="000D3717" w:rsidRDefault="007E1B0B" w:rsidP="008D7069">
            <w:pPr>
              <w:rPr>
                <w:rFonts w:ascii="Times New Roman" w:hAnsi="Times New Roman" w:cs="Times New Roman"/>
                <w:sz w:val="24"/>
                <w:szCs w:val="24"/>
              </w:rPr>
            </w:pPr>
          </w:p>
        </w:tc>
      </w:tr>
      <w:tr w:rsidR="007E1B0B" w:rsidRPr="000D3717" w14:paraId="684B8455" w14:textId="77777777" w:rsidTr="009B4686">
        <w:tc>
          <w:tcPr>
            <w:tcW w:w="1710" w:type="dxa"/>
          </w:tcPr>
          <w:p w14:paraId="6B183B57"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Administrimi i mirë</w:t>
            </w:r>
          </w:p>
        </w:tc>
        <w:tc>
          <w:tcPr>
            <w:tcW w:w="4050" w:type="dxa"/>
          </w:tcPr>
          <w:p w14:paraId="1BA9584B"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do të bëhen procedurat administrative më të komplikuara?</w:t>
            </w:r>
          </w:p>
        </w:tc>
        <w:tc>
          <w:tcPr>
            <w:tcW w:w="810" w:type="dxa"/>
          </w:tcPr>
          <w:p w14:paraId="4AACE713" w14:textId="77777777" w:rsidR="007E1B0B" w:rsidRPr="000D3717" w:rsidRDefault="007E1B0B" w:rsidP="008D7069">
            <w:pPr>
              <w:rPr>
                <w:rFonts w:ascii="Times New Roman" w:hAnsi="Times New Roman" w:cs="Times New Roman"/>
                <w:sz w:val="24"/>
                <w:szCs w:val="24"/>
              </w:rPr>
            </w:pPr>
          </w:p>
        </w:tc>
        <w:tc>
          <w:tcPr>
            <w:tcW w:w="1080" w:type="dxa"/>
          </w:tcPr>
          <w:p w14:paraId="662995B9" w14:textId="2B4A329A" w:rsidR="007E1B0B" w:rsidRPr="000D3717" w:rsidRDefault="007E1B0B" w:rsidP="008D7069">
            <w:pPr>
              <w:rPr>
                <w:rFonts w:ascii="Times New Roman" w:hAnsi="Times New Roman" w:cs="Times New Roman"/>
                <w:sz w:val="24"/>
                <w:szCs w:val="24"/>
              </w:rPr>
            </w:pPr>
            <w:r w:rsidRPr="00F8188D">
              <w:rPr>
                <w:rFonts w:ascii="Times New Roman" w:hAnsi="Times New Roman" w:cs="Times New Roman"/>
                <w:sz w:val="24"/>
                <w:szCs w:val="24"/>
              </w:rPr>
              <w:t>x</w:t>
            </w:r>
          </w:p>
        </w:tc>
        <w:tc>
          <w:tcPr>
            <w:tcW w:w="2250" w:type="dxa"/>
          </w:tcPr>
          <w:p w14:paraId="6461C188" w14:textId="77777777" w:rsidR="007E1B0B" w:rsidRPr="000D3717" w:rsidRDefault="007E1B0B" w:rsidP="008D7069">
            <w:pPr>
              <w:rPr>
                <w:rFonts w:ascii="Times New Roman" w:hAnsi="Times New Roman" w:cs="Times New Roman"/>
                <w:sz w:val="24"/>
                <w:szCs w:val="24"/>
              </w:rPr>
            </w:pPr>
          </w:p>
        </w:tc>
        <w:tc>
          <w:tcPr>
            <w:tcW w:w="1530" w:type="dxa"/>
          </w:tcPr>
          <w:p w14:paraId="154A6AC1" w14:textId="77777777" w:rsidR="007E1B0B" w:rsidRPr="000D3717" w:rsidRDefault="007E1B0B" w:rsidP="008D7069">
            <w:pPr>
              <w:rPr>
                <w:rFonts w:ascii="Times New Roman" w:hAnsi="Times New Roman" w:cs="Times New Roman"/>
                <w:sz w:val="24"/>
                <w:szCs w:val="24"/>
              </w:rPr>
            </w:pPr>
          </w:p>
        </w:tc>
        <w:tc>
          <w:tcPr>
            <w:tcW w:w="2610" w:type="dxa"/>
          </w:tcPr>
          <w:p w14:paraId="62EE3A9D" w14:textId="77777777" w:rsidR="007E1B0B" w:rsidRPr="000D3717" w:rsidRDefault="007E1B0B" w:rsidP="008D7069">
            <w:pPr>
              <w:rPr>
                <w:rFonts w:ascii="Times New Roman" w:hAnsi="Times New Roman" w:cs="Times New Roman"/>
                <w:sz w:val="24"/>
                <w:szCs w:val="24"/>
              </w:rPr>
            </w:pPr>
          </w:p>
        </w:tc>
      </w:tr>
      <w:tr w:rsidR="007E1B0B" w:rsidRPr="000D3717" w14:paraId="2F7A473F" w14:textId="77777777" w:rsidTr="009B4686">
        <w:tc>
          <w:tcPr>
            <w:tcW w:w="1710" w:type="dxa"/>
          </w:tcPr>
          <w:p w14:paraId="34208EEA" w14:textId="77777777" w:rsidR="007E1B0B" w:rsidRPr="000D3717" w:rsidRDefault="007E1B0B" w:rsidP="008D7069">
            <w:pPr>
              <w:rPr>
                <w:rFonts w:ascii="Times New Roman" w:hAnsi="Times New Roman" w:cs="Times New Roman"/>
                <w:sz w:val="24"/>
                <w:szCs w:val="24"/>
              </w:rPr>
            </w:pPr>
          </w:p>
        </w:tc>
        <w:tc>
          <w:tcPr>
            <w:tcW w:w="4050" w:type="dxa"/>
          </w:tcPr>
          <w:p w14:paraId="60177F4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 xml:space="preserve">A ndikohet mënyra në të cilën administrata merr vendime (transparenca, afati procedural, e drejta për qasje në një dosje, etj.)? </w:t>
            </w:r>
          </w:p>
        </w:tc>
        <w:tc>
          <w:tcPr>
            <w:tcW w:w="810" w:type="dxa"/>
          </w:tcPr>
          <w:p w14:paraId="007A7939" w14:textId="77777777" w:rsidR="007E1B0B" w:rsidRPr="000D3717" w:rsidRDefault="007E1B0B" w:rsidP="008D7069">
            <w:pPr>
              <w:rPr>
                <w:rFonts w:ascii="Times New Roman" w:hAnsi="Times New Roman" w:cs="Times New Roman"/>
                <w:sz w:val="24"/>
                <w:szCs w:val="24"/>
              </w:rPr>
            </w:pPr>
          </w:p>
        </w:tc>
        <w:tc>
          <w:tcPr>
            <w:tcW w:w="1080" w:type="dxa"/>
          </w:tcPr>
          <w:p w14:paraId="75893C8C" w14:textId="5BB72C8A" w:rsidR="007E1B0B" w:rsidRPr="000D3717" w:rsidRDefault="007E1B0B" w:rsidP="008D7069">
            <w:pPr>
              <w:rPr>
                <w:rFonts w:ascii="Times New Roman" w:hAnsi="Times New Roman" w:cs="Times New Roman"/>
                <w:sz w:val="24"/>
                <w:szCs w:val="24"/>
              </w:rPr>
            </w:pPr>
            <w:r w:rsidRPr="00F8188D">
              <w:rPr>
                <w:rFonts w:ascii="Times New Roman" w:hAnsi="Times New Roman" w:cs="Times New Roman"/>
                <w:sz w:val="24"/>
                <w:szCs w:val="24"/>
              </w:rPr>
              <w:t>x</w:t>
            </w:r>
          </w:p>
        </w:tc>
        <w:tc>
          <w:tcPr>
            <w:tcW w:w="2250" w:type="dxa"/>
          </w:tcPr>
          <w:p w14:paraId="2CE4B395" w14:textId="77777777" w:rsidR="007E1B0B" w:rsidRPr="000D3717" w:rsidRDefault="007E1B0B" w:rsidP="008D7069">
            <w:pPr>
              <w:rPr>
                <w:rFonts w:ascii="Times New Roman" w:hAnsi="Times New Roman" w:cs="Times New Roman"/>
                <w:sz w:val="24"/>
                <w:szCs w:val="24"/>
              </w:rPr>
            </w:pPr>
          </w:p>
        </w:tc>
        <w:tc>
          <w:tcPr>
            <w:tcW w:w="1530" w:type="dxa"/>
          </w:tcPr>
          <w:p w14:paraId="5CCA2FB9" w14:textId="77777777" w:rsidR="007E1B0B" w:rsidRPr="000D3717" w:rsidRDefault="007E1B0B" w:rsidP="008D7069">
            <w:pPr>
              <w:rPr>
                <w:rFonts w:ascii="Times New Roman" w:hAnsi="Times New Roman" w:cs="Times New Roman"/>
                <w:sz w:val="24"/>
                <w:szCs w:val="24"/>
              </w:rPr>
            </w:pPr>
          </w:p>
        </w:tc>
        <w:tc>
          <w:tcPr>
            <w:tcW w:w="2610" w:type="dxa"/>
          </w:tcPr>
          <w:p w14:paraId="5395A8D1" w14:textId="77777777" w:rsidR="007E1B0B" w:rsidRPr="000D3717" w:rsidRDefault="007E1B0B" w:rsidP="008D7069">
            <w:pPr>
              <w:rPr>
                <w:rFonts w:ascii="Times New Roman" w:hAnsi="Times New Roman" w:cs="Times New Roman"/>
                <w:sz w:val="24"/>
                <w:szCs w:val="24"/>
              </w:rPr>
            </w:pPr>
          </w:p>
        </w:tc>
      </w:tr>
      <w:tr w:rsidR="007E1B0B" w:rsidRPr="000D3717" w14:paraId="5530CD95" w14:textId="77777777" w:rsidTr="009B4686">
        <w:tc>
          <w:tcPr>
            <w:tcW w:w="1710" w:type="dxa"/>
          </w:tcPr>
          <w:p w14:paraId="010C1641" w14:textId="77777777" w:rsidR="007E1B0B" w:rsidRPr="000D3717" w:rsidRDefault="007E1B0B" w:rsidP="008D7069">
            <w:pPr>
              <w:rPr>
                <w:rFonts w:ascii="Times New Roman" w:hAnsi="Times New Roman" w:cs="Times New Roman"/>
                <w:sz w:val="24"/>
                <w:szCs w:val="24"/>
              </w:rPr>
            </w:pPr>
          </w:p>
        </w:tc>
        <w:tc>
          <w:tcPr>
            <w:tcW w:w="4050" w:type="dxa"/>
          </w:tcPr>
          <w:p w14:paraId="47BE715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Për të drejtën penale dhe ndëshkimet e parashikuara: a ndikohen të drejtat e të paditurit?</w:t>
            </w:r>
          </w:p>
        </w:tc>
        <w:tc>
          <w:tcPr>
            <w:tcW w:w="810" w:type="dxa"/>
          </w:tcPr>
          <w:p w14:paraId="700ED325" w14:textId="77777777" w:rsidR="007E1B0B" w:rsidRPr="000D3717" w:rsidRDefault="007E1B0B" w:rsidP="008D7069">
            <w:pPr>
              <w:rPr>
                <w:rFonts w:ascii="Times New Roman" w:hAnsi="Times New Roman" w:cs="Times New Roman"/>
                <w:sz w:val="24"/>
                <w:szCs w:val="24"/>
              </w:rPr>
            </w:pPr>
          </w:p>
        </w:tc>
        <w:tc>
          <w:tcPr>
            <w:tcW w:w="1080" w:type="dxa"/>
          </w:tcPr>
          <w:p w14:paraId="03C7351F" w14:textId="2802A956" w:rsidR="007E1B0B" w:rsidRPr="000D3717" w:rsidRDefault="007E1B0B" w:rsidP="008D7069">
            <w:pPr>
              <w:rPr>
                <w:rFonts w:ascii="Times New Roman" w:hAnsi="Times New Roman" w:cs="Times New Roman"/>
                <w:sz w:val="24"/>
                <w:szCs w:val="24"/>
              </w:rPr>
            </w:pPr>
            <w:r w:rsidRPr="00C72F44">
              <w:rPr>
                <w:rFonts w:ascii="Times New Roman" w:hAnsi="Times New Roman" w:cs="Times New Roman"/>
                <w:sz w:val="24"/>
                <w:szCs w:val="24"/>
              </w:rPr>
              <w:t>x</w:t>
            </w:r>
          </w:p>
        </w:tc>
        <w:tc>
          <w:tcPr>
            <w:tcW w:w="2250" w:type="dxa"/>
          </w:tcPr>
          <w:p w14:paraId="0C4D9159" w14:textId="77777777" w:rsidR="007E1B0B" w:rsidRPr="000D3717" w:rsidRDefault="007E1B0B" w:rsidP="008D7069">
            <w:pPr>
              <w:rPr>
                <w:rFonts w:ascii="Times New Roman" w:hAnsi="Times New Roman" w:cs="Times New Roman"/>
                <w:sz w:val="24"/>
                <w:szCs w:val="24"/>
              </w:rPr>
            </w:pPr>
          </w:p>
        </w:tc>
        <w:tc>
          <w:tcPr>
            <w:tcW w:w="1530" w:type="dxa"/>
          </w:tcPr>
          <w:p w14:paraId="16CDC7D2" w14:textId="77777777" w:rsidR="007E1B0B" w:rsidRPr="000D3717" w:rsidRDefault="007E1B0B" w:rsidP="008D7069">
            <w:pPr>
              <w:rPr>
                <w:rFonts w:ascii="Times New Roman" w:hAnsi="Times New Roman" w:cs="Times New Roman"/>
                <w:sz w:val="24"/>
                <w:szCs w:val="24"/>
              </w:rPr>
            </w:pPr>
          </w:p>
        </w:tc>
        <w:tc>
          <w:tcPr>
            <w:tcW w:w="2610" w:type="dxa"/>
          </w:tcPr>
          <w:p w14:paraId="6F777783" w14:textId="77777777" w:rsidR="007E1B0B" w:rsidRPr="000D3717" w:rsidRDefault="007E1B0B" w:rsidP="008D7069">
            <w:pPr>
              <w:rPr>
                <w:rFonts w:ascii="Times New Roman" w:hAnsi="Times New Roman" w:cs="Times New Roman"/>
                <w:sz w:val="24"/>
                <w:szCs w:val="24"/>
              </w:rPr>
            </w:pPr>
          </w:p>
        </w:tc>
      </w:tr>
      <w:tr w:rsidR="007E1B0B" w:rsidRPr="000D3717" w14:paraId="41F9AF22" w14:textId="77777777" w:rsidTr="009B4686">
        <w:trPr>
          <w:trHeight w:val="241"/>
        </w:trPr>
        <w:tc>
          <w:tcPr>
            <w:tcW w:w="1710" w:type="dxa"/>
          </w:tcPr>
          <w:p w14:paraId="4C4BA3AC" w14:textId="77777777" w:rsidR="007E1B0B" w:rsidRPr="000D3717" w:rsidRDefault="007E1B0B" w:rsidP="008D7069">
            <w:pPr>
              <w:rPr>
                <w:rFonts w:ascii="Times New Roman" w:hAnsi="Times New Roman" w:cs="Times New Roman"/>
                <w:sz w:val="24"/>
                <w:szCs w:val="24"/>
              </w:rPr>
            </w:pPr>
          </w:p>
        </w:tc>
        <w:tc>
          <w:tcPr>
            <w:tcW w:w="4050" w:type="dxa"/>
          </w:tcPr>
          <w:p w14:paraId="0CD2CF76" w14:textId="77777777" w:rsidR="007E1B0B" w:rsidRPr="000D3717" w:rsidRDefault="007E1B0B" w:rsidP="008D7069">
            <w:pPr>
              <w:rPr>
                <w:rFonts w:ascii="Times New Roman" w:hAnsi="Times New Roman" w:cs="Times New Roman"/>
                <w:sz w:val="24"/>
                <w:szCs w:val="24"/>
              </w:rPr>
            </w:pPr>
            <w:r w:rsidRPr="000D3717">
              <w:rPr>
                <w:rFonts w:ascii="Times New Roman" w:hAnsi="Times New Roman" w:cs="Times New Roman"/>
                <w:sz w:val="24"/>
                <w:szCs w:val="24"/>
              </w:rPr>
              <w:t>A ndikohet qasja në drejtësi?</w:t>
            </w:r>
          </w:p>
        </w:tc>
        <w:tc>
          <w:tcPr>
            <w:tcW w:w="810" w:type="dxa"/>
          </w:tcPr>
          <w:p w14:paraId="0E6D8A68" w14:textId="77777777" w:rsidR="007E1B0B" w:rsidRPr="000D3717" w:rsidRDefault="007E1B0B" w:rsidP="008D7069">
            <w:pPr>
              <w:rPr>
                <w:rFonts w:ascii="Times New Roman" w:hAnsi="Times New Roman" w:cs="Times New Roman"/>
                <w:sz w:val="24"/>
                <w:szCs w:val="24"/>
              </w:rPr>
            </w:pPr>
          </w:p>
        </w:tc>
        <w:tc>
          <w:tcPr>
            <w:tcW w:w="1080" w:type="dxa"/>
          </w:tcPr>
          <w:p w14:paraId="1B637586" w14:textId="3C731B64" w:rsidR="007E1B0B" w:rsidRPr="000D3717" w:rsidRDefault="007E1B0B" w:rsidP="008D7069">
            <w:pPr>
              <w:rPr>
                <w:rFonts w:ascii="Times New Roman" w:hAnsi="Times New Roman" w:cs="Times New Roman"/>
                <w:sz w:val="24"/>
                <w:szCs w:val="24"/>
              </w:rPr>
            </w:pPr>
            <w:r w:rsidRPr="00C72F44">
              <w:rPr>
                <w:rFonts w:ascii="Times New Roman" w:hAnsi="Times New Roman" w:cs="Times New Roman"/>
                <w:sz w:val="24"/>
                <w:szCs w:val="24"/>
              </w:rPr>
              <w:t>x</w:t>
            </w:r>
          </w:p>
        </w:tc>
        <w:tc>
          <w:tcPr>
            <w:tcW w:w="2250" w:type="dxa"/>
          </w:tcPr>
          <w:p w14:paraId="51A062EE" w14:textId="77777777" w:rsidR="007E1B0B" w:rsidRPr="000D3717" w:rsidRDefault="007E1B0B" w:rsidP="008D7069">
            <w:pPr>
              <w:rPr>
                <w:rFonts w:ascii="Times New Roman" w:hAnsi="Times New Roman" w:cs="Times New Roman"/>
                <w:sz w:val="24"/>
                <w:szCs w:val="24"/>
              </w:rPr>
            </w:pPr>
          </w:p>
        </w:tc>
        <w:tc>
          <w:tcPr>
            <w:tcW w:w="1530" w:type="dxa"/>
          </w:tcPr>
          <w:p w14:paraId="110028B8" w14:textId="77777777" w:rsidR="007E1B0B" w:rsidRPr="000D3717" w:rsidRDefault="007E1B0B" w:rsidP="008D7069">
            <w:pPr>
              <w:rPr>
                <w:rFonts w:ascii="Times New Roman" w:hAnsi="Times New Roman" w:cs="Times New Roman"/>
                <w:sz w:val="24"/>
                <w:szCs w:val="24"/>
              </w:rPr>
            </w:pPr>
          </w:p>
        </w:tc>
        <w:tc>
          <w:tcPr>
            <w:tcW w:w="2610" w:type="dxa"/>
          </w:tcPr>
          <w:p w14:paraId="4E26CFAB" w14:textId="77777777" w:rsidR="007E1B0B" w:rsidRPr="000D3717" w:rsidRDefault="007E1B0B" w:rsidP="008D7069">
            <w:pPr>
              <w:rPr>
                <w:rFonts w:ascii="Times New Roman" w:hAnsi="Times New Roman" w:cs="Times New Roman"/>
                <w:sz w:val="24"/>
                <w:szCs w:val="24"/>
              </w:rPr>
            </w:pPr>
          </w:p>
        </w:tc>
      </w:tr>
    </w:tbl>
    <w:p w14:paraId="22C0874A" w14:textId="77777777" w:rsidR="00DF2517" w:rsidRPr="000D3717" w:rsidRDefault="00DF2517" w:rsidP="0075339D">
      <w:pPr>
        <w:rPr>
          <w:rFonts w:ascii="Times New Roman" w:hAnsi="Times New Roman" w:cs="Times New Roman"/>
          <w:sz w:val="24"/>
          <w:szCs w:val="24"/>
        </w:rPr>
      </w:pPr>
    </w:p>
    <w:sectPr w:rsidR="00DF2517" w:rsidRPr="000D3717" w:rsidSect="00DF251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9D2E9" w15:done="0"/>
  <w15:commentEx w15:paraId="41BD2B1B" w15:done="0"/>
  <w15:commentEx w15:paraId="112B8B52" w15:done="0"/>
  <w15:commentEx w15:paraId="4E8C7A77" w15:done="0"/>
  <w15:commentEx w15:paraId="7E43117A" w15:done="0"/>
  <w15:commentEx w15:paraId="6E0264E3" w15:done="0"/>
  <w15:commentEx w15:paraId="1EFA3CAA" w15:done="0"/>
  <w15:commentEx w15:paraId="06693C8F" w15:done="0"/>
  <w15:commentEx w15:paraId="3D23F40B" w15:done="0"/>
  <w15:commentEx w15:paraId="1C6123F1" w15:done="0"/>
  <w15:commentEx w15:paraId="7339DA1C" w15:done="0"/>
  <w15:commentEx w15:paraId="606C78F4" w15:done="0"/>
  <w15:commentEx w15:paraId="6CE54422" w15:done="0"/>
  <w15:commentEx w15:paraId="3273CD4E" w15:done="0"/>
  <w15:commentEx w15:paraId="1F97F4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73243" w16cid:durableId="1EFC2FED"/>
  <w16cid:commentId w16cid:paraId="1C39B041" w16cid:durableId="1EFC2FEE"/>
  <w16cid:commentId w16cid:paraId="3618215D" w16cid:durableId="1EFC31A6"/>
  <w16cid:commentId w16cid:paraId="70BD67B8" w16cid:durableId="1EFC3220"/>
  <w16cid:commentId w16cid:paraId="003E7AFE" w16cid:durableId="1EFC2FEF"/>
  <w16cid:commentId w16cid:paraId="41EA3CF7" w16cid:durableId="1F003088"/>
  <w16cid:commentId w16cid:paraId="33E8EDF1" w16cid:durableId="1EC91218"/>
  <w16cid:commentId w16cid:paraId="25BAA55F" w16cid:durableId="1EFC2FF1"/>
  <w16cid:commentId w16cid:paraId="1C4CE95C" w16cid:durableId="1EC91165"/>
  <w16cid:commentId w16cid:paraId="4DA13B39" w16cid:durableId="1EC9116C"/>
  <w16cid:commentId w16cid:paraId="5CE3B8D8" w16cid:durableId="1EFC2FF4"/>
  <w16cid:commentId w16cid:paraId="393CDC6B" w16cid:durableId="1ECA1A2C"/>
  <w16cid:commentId w16cid:paraId="7AE5318E" w16cid:durableId="1ECA1DA9"/>
  <w16cid:commentId w16cid:paraId="60B48F3C" w16cid:durableId="1ECA5158"/>
  <w16cid:commentId w16cid:paraId="471662CA" w16cid:durableId="1ECA51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2D23" w14:textId="77777777" w:rsidR="00D85DEE" w:rsidRDefault="00D85DEE" w:rsidP="0075339D">
      <w:pPr>
        <w:spacing w:after="0" w:line="240" w:lineRule="auto"/>
      </w:pPr>
      <w:r>
        <w:separator/>
      </w:r>
    </w:p>
  </w:endnote>
  <w:endnote w:type="continuationSeparator" w:id="0">
    <w:p w14:paraId="45F2C3BE" w14:textId="77777777" w:rsidR="00D85DEE" w:rsidRDefault="00D85DEE"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49973"/>
      <w:docPartObj>
        <w:docPartGallery w:val="Page Numbers (Bottom of Page)"/>
        <w:docPartUnique/>
      </w:docPartObj>
    </w:sdtPr>
    <w:sdtEndPr>
      <w:rPr>
        <w:noProof/>
      </w:rPr>
    </w:sdtEndPr>
    <w:sdtContent>
      <w:p w14:paraId="4BEC0196" w14:textId="77777777" w:rsidR="007F6086" w:rsidRDefault="007F6086">
        <w:pPr>
          <w:pStyle w:val="Footer"/>
          <w:jc w:val="right"/>
        </w:pPr>
        <w:r>
          <w:fldChar w:fldCharType="begin"/>
        </w:r>
        <w:r>
          <w:instrText xml:space="preserve"> PAGE   \* MERGEFORMAT </w:instrText>
        </w:r>
        <w:r>
          <w:fldChar w:fldCharType="separate"/>
        </w:r>
        <w:r w:rsidR="000C25D9">
          <w:rPr>
            <w:noProof/>
          </w:rPr>
          <w:t>1</w:t>
        </w:r>
        <w:r>
          <w:rPr>
            <w:noProof/>
          </w:rPr>
          <w:fldChar w:fldCharType="end"/>
        </w:r>
      </w:p>
    </w:sdtContent>
  </w:sdt>
  <w:p w14:paraId="3805C45D" w14:textId="77777777" w:rsidR="007F6086" w:rsidRDefault="007F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38CD" w14:textId="77777777" w:rsidR="00D85DEE" w:rsidRDefault="00D85DEE" w:rsidP="0075339D">
      <w:pPr>
        <w:spacing w:after="0" w:line="240" w:lineRule="auto"/>
      </w:pPr>
      <w:r>
        <w:separator/>
      </w:r>
    </w:p>
  </w:footnote>
  <w:footnote w:type="continuationSeparator" w:id="0">
    <w:p w14:paraId="3C111207" w14:textId="77777777" w:rsidR="00D85DEE" w:rsidRDefault="00D85DEE" w:rsidP="0075339D">
      <w:pPr>
        <w:spacing w:after="0" w:line="240" w:lineRule="auto"/>
      </w:pPr>
      <w:r>
        <w:continuationSeparator/>
      </w:r>
    </w:p>
  </w:footnote>
  <w:footnote w:id="1">
    <w:p w14:paraId="4B9AADC3"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rPr>
        <w:t>Twinning</w:t>
      </w:r>
      <w:proofErr w:type="spellEnd"/>
      <w:r w:rsidRPr="00B90180">
        <w:rPr>
          <w:rFonts w:ascii="Cambria" w:hAnsi="Cambria"/>
        </w:rPr>
        <w:t xml:space="preserve"> Project KS 14 IPA OT 02 16 “</w:t>
      </w:r>
      <w:proofErr w:type="spellStart"/>
      <w:r w:rsidRPr="00B90180">
        <w:rPr>
          <w:rFonts w:ascii="Cambria" w:hAnsi="Cambria"/>
        </w:rPr>
        <w:t>Support</w:t>
      </w:r>
      <w:proofErr w:type="spellEnd"/>
      <w:r w:rsidRPr="00B90180">
        <w:rPr>
          <w:rFonts w:ascii="Cambria" w:hAnsi="Cambria"/>
        </w:rPr>
        <w:t xml:space="preserve"> to </w:t>
      </w:r>
      <w:proofErr w:type="spellStart"/>
      <w:r w:rsidRPr="00B90180">
        <w:rPr>
          <w:rFonts w:ascii="Cambria" w:hAnsi="Cambria"/>
        </w:rPr>
        <w:t>Kosovo</w:t>
      </w:r>
      <w:proofErr w:type="spellEnd"/>
      <w:r w:rsidRPr="00B90180">
        <w:rPr>
          <w:rFonts w:ascii="Cambria" w:hAnsi="Cambria"/>
        </w:rPr>
        <w:t xml:space="preserve"> </w:t>
      </w:r>
      <w:proofErr w:type="spellStart"/>
      <w:r w:rsidRPr="00B90180">
        <w:rPr>
          <w:rFonts w:ascii="Cambria" w:hAnsi="Cambria"/>
        </w:rPr>
        <w:t>Institutions</w:t>
      </w:r>
      <w:proofErr w:type="spellEnd"/>
      <w:r w:rsidRPr="00B90180">
        <w:rPr>
          <w:rFonts w:ascii="Cambria" w:hAnsi="Cambria"/>
        </w:rPr>
        <w:t xml:space="preserve"> </w:t>
      </w:r>
      <w:proofErr w:type="spellStart"/>
      <w:r w:rsidRPr="00B90180">
        <w:rPr>
          <w:rFonts w:ascii="Cambria" w:hAnsi="Cambria"/>
        </w:rPr>
        <w:t>on</w:t>
      </w:r>
      <w:proofErr w:type="spellEnd"/>
      <w:r w:rsidRPr="00B90180">
        <w:rPr>
          <w:rFonts w:ascii="Cambria" w:hAnsi="Cambria"/>
        </w:rPr>
        <w:t xml:space="preserve"> SAA </w:t>
      </w:r>
      <w:proofErr w:type="spellStart"/>
      <w:r w:rsidRPr="00B90180">
        <w:rPr>
          <w:rFonts w:ascii="Cambria" w:hAnsi="Cambria"/>
        </w:rPr>
        <w:t>implementation</w:t>
      </w:r>
      <w:proofErr w:type="spellEnd"/>
      <w:r w:rsidRPr="00B90180">
        <w:rPr>
          <w:rFonts w:ascii="Cambria" w:hAnsi="Cambria"/>
        </w:rPr>
        <w:t>”</w:t>
      </w:r>
    </w:p>
  </w:footnote>
  <w:footnote w:id="2">
    <w:p w14:paraId="0808F7D2"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GAP ASSESSMENT REPORT ON CHAPTER 8 – COMPETITION AND STATE AID </w:t>
      </w:r>
    </w:p>
  </w:footnote>
  <w:footnote w:id="3">
    <w:p w14:paraId="5B17EEEE"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US"/>
        </w:rPr>
        <w:t>Lista</w:t>
      </w:r>
      <w:proofErr w:type="spellEnd"/>
      <w:r w:rsidRPr="00B90180">
        <w:rPr>
          <w:rFonts w:ascii="Cambria" w:hAnsi="Cambria"/>
          <w:lang w:val="en-US"/>
        </w:rPr>
        <w:t xml:space="preserve"> e </w:t>
      </w:r>
      <w:proofErr w:type="spellStart"/>
      <w:r w:rsidRPr="00B90180">
        <w:rPr>
          <w:rFonts w:ascii="Cambria" w:hAnsi="Cambria"/>
          <w:lang w:val="en-US"/>
        </w:rPr>
        <w:t>plotë</w:t>
      </w:r>
      <w:proofErr w:type="spellEnd"/>
      <w:r w:rsidRPr="00B90180">
        <w:rPr>
          <w:rFonts w:ascii="Cambria" w:hAnsi="Cambria"/>
          <w:lang w:val="en-US"/>
        </w:rPr>
        <w:t xml:space="preserve"> </w:t>
      </w:r>
      <w:proofErr w:type="spellStart"/>
      <w:r w:rsidRPr="00B90180">
        <w:rPr>
          <w:rFonts w:ascii="Cambria" w:hAnsi="Cambria"/>
          <w:lang w:val="en-US"/>
        </w:rPr>
        <w:t>është</w:t>
      </w:r>
      <w:proofErr w:type="spellEnd"/>
      <w:r w:rsidRPr="00B90180">
        <w:rPr>
          <w:rFonts w:ascii="Cambria" w:hAnsi="Cambria"/>
          <w:lang w:val="en-US"/>
        </w:rPr>
        <w:t xml:space="preserve"> </w:t>
      </w:r>
      <w:proofErr w:type="spellStart"/>
      <w:r w:rsidRPr="00B90180">
        <w:rPr>
          <w:rFonts w:ascii="Cambria" w:hAnsi="Cambria"/>
          <w:lang w:val="en-US"/>
        </w:rPr>
        <w:t>përfshirë</w:t>
      </w:r>
      <w:proofErr w:type="spellEnd"/>
      <w:r w:rsidRPr="00B90180">
        <w:rPr>
          <w:rFonts w:ascii="Cambria" w:hAnsi="Cambria"/>
          <w:lang w:val="en-US"/>
        </w:rPr>
        <w:t xml:space="preserve"> </w:t>
      </w:r>
      <w:proofErr w:type="spellStart"/>
      <w:r w:rsidRPr="00B90180">
        <w:rPr>
          <w:rFonts w:ascii="Cambria" w:hAnsi="Cambria"/>
          <w:lang w:val="en-US"/>
        </w:rPr>
        <w:t>në</w:t>
      </w:r>
      <w:proofErr w:type="spellEnd"/>
      <w:r w:rsidRPr="00B90180">
        <w:rPr>
          <w:rFonts w:ascii="Cambria" w:hAnsi="Cambria"/>
          <w:lang w:val="en-US"/>
        </w:rPr>
        <w:t xml:space="preserve"> </w:t>
      </w:r>
      <w:proofErr w:type="spellStart"/>
      <w:r w:rsidRPr="00B90180">
        <w:rPr>
          <w:rFonts w:ascii="Cambria" w:hAnsi="Cambria"/>
          <w:lang w:val="en-US"/>
        </w:rPr>
        <w:t>Shtojcën</w:t>
      </w:r>
      <w:proofErr w:type="spellEnd"/>
      <w:r w:rsidRPr="00B90180">
        <w:rPr>
          <w:rFonts w:ascii="Cambria" w:hAnsi="Cambria"/>
          <w:lang w:val="en-US"/>
        </w:rPr>
        <w:t xml:space="preserve"> 5 </w:t>
      </w:r>
      <w:proofErr w:type="spellStart"/>
      <w:r w:rsidRPr="00B90180">
        <w:rPr>
          <w:rFonts w:ascii="Cambria" w:hAnsi="Cambria"/>
          <w:lang w:val="en-US"/>
        </w:rPr>
        <w:t>të</w:t>
      </w:r>
      <w:proofErr w:type="spellEnd"/>
      <w:r w:rsidRPr="00B90180">
        <w:rPr>
          <w:rFonts w:ascii="Cambria" w:hAnsi="Cambria"/>
          <w:lang w:val="en-US"/>
        </w:rPr>
        <w:t xml:space="preserve"> </w:t>
      </w:r>
      <w:proofErr w:type="spellStart"/>
      <w:r w:rsidRPr="00B90180">
        <w:rPr>
          <w:rFonts w:ascii="Cambria" w:hAnsi="Cambria"/>
          <w:lang w:val="en-US"/>
        </w:rPr>
        <w:t>këtij</w:t>
      </w:r>
      <w:proofErr w:type="spellEnd"/>
      <w:r w:rsidRPr="00B90180">
        <w:rPr>
          <w:rFonts w:ascii="Cambria" w:hAnsi="Cambria"/>
          <w:lang w:val="en-US"/>
        </w:rPr>
        <w:t xml:space="preserve"> </w:t>
      </w:r>
      <w:proofErr w:type="spellStart"/>
      <w:r w:rsidRPr="00B90180">
        <w:rPr>
          <w:rFonts w:ascii="Cambria" w:hAnsi="Cambria"/>
          <w:lang w:val="en-US"/>
        </w:rPr>
        <w:t>Koncept</w:t>
      </w:r>
      <w:proofErr w:type="spellEnd"/>
      <w:r w:rsidRPr="00B90180">
        <w:rPr>
          <w:rFonts w:ascii="Cambria" w:hAnsi="Cambria"/>
          <w:lang w:val="en-US"/>
        </w:rPr>
        <w:t xml:space="preserve"> </w:t>
      </w:r>
      <w:proofErr w:type="spellStart"/>
      <w:r w:rsidRPr="00B90180">
        <w:rPr>
          <w:rFonts w:ascii="Cambria" w:hAnsi="Cambria"/>
          <w:lang w:val="en-US"/>
        </w:rPr>
        <w:t>Dokumenti</w:t>
      </w:r>
      <w:proofErr w:type="spellEnd"/>
    </w:p>
  </w:footnote>
  <w:footnote w:id="4">
    <w:p w14:paraId="403610C7"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US"/>
        </w:rPr>
        <w:t>Traktati</w:t>
      </w:r>
      <w:proofErr w:type="spellEnd"/>
      <w:r w:rsidRPr="00B90180">
        <w:rPr>
          <w:rFonts w:ascii="Cambria" w:hAnsi="Cambria"/>
          <w:lang w:val="en-US"/>
        </w:rPr>
        <w:t xml:space="preserve"> </w:t>
      </w:r>
      <w:proofErr w:type="spellStart"/>
      <w:r w:rsidRPr="00B90180">
        <w:rPr>
          <w:rFonts w:ascii="Cambria" w:hAnsi="Cambria"/>
          <w:lang w:val="en-US"/>
        </w:rPr>
        <w:t>mbi</w:t>
      </w:r>
      <w:proofErr w:type="spellEnd"/>
      <w:r w:rsidRPr="00B90180">
        <w:rPr>
          <w:rFonts w:ascii="Cambria" w:hAnsi="Cambria"/>
          <w:lang w:val="en-US"/>
        </w:rPr>
        <w:t xml:space="preserve"> </w:t>
      </w:r>
      <w:proofErr w:type="spellStart"/>
      <w:r w:rsidRPr="00B90180">
        <w:rPr>
          <w:rFonts w:ascii="Cambria" w:hAnsi="Cambria"/>
          <w:lang w:val="en-US"/>
        </w:rPr>
        <w:t>Funksionimin</w:t>
      </w:r>
      <w:proofErr w:type="spellEnd"/>
      <w:r w:rsidRPr="00B90180">
        <w:rPr>
          <w:rFonts w:ascii="Cambria" w:hAnsi="Cambria"/>
          <w:lang w:val="en-US"/>
        </w:rPr>
        <w:t xml:space="preserve"> e </w:t>
      </w:r>
      <w:proofErr w:type="spellStart"/>
      <w:r w:rsidRPr="00B90180">
        <w:rPr>
          <w:rFonts w:ascii="Cambria" w:hAnsi="Cambria"/>
          <w:lang w:val="en-US"/>
        </w:rPr>
        <w:t>Bashkimit</w:t>
      </w:r>
      <w:proofErr w:type="spellEnd"/>
      <w:r w:rsidRPr="00B90180">
        <w:rPr>
          <w:rFonts w:ascii="Cambria" w:hAnsi="Cambria"/>
          <w:lang w:val="en-US"/>
        </w:rPr>
        <w:t xml:space="preserve"> </w:t>
      </w:r>
      <w:proofErr w:type="spellStart"/>
      <w:r w:rsidRPr="00B90180">
        <w:rPr>
          <w:rFonts w:ascii="Cambria" w:hAnsi="Cambria"/>
          <w:lang w:val="en-US"/>
        </w:rPr>
        <w:t>Evropian</w:t>
      </w:r>
      <w:proofErr w:type="spellEnd"/>
      <w:r w:rsidRPr="00B90180">
        <w:rPr>
          <w:rFonts w:ascii="Cambria" w:hAnsi="Cambria"/>
          <w:lang w:val="en-US"/>
        </w:rPr>
        <w:t xml:space="preserve">, version </w:t>
      </w:r>
      <w:proofErr w:type="spellStart"/>
      <w:r w:rsidRPr="00B90180">
        <w:rPr>
          <w:rFonts w:ascii="Cambria" w:hAnsi="Cambria"/>
          <w:lang w:val="en-US"/>
        </w:rPr>
        <w:t>në</w:t>
      </w:r>
      <w:proofErr w:type="spellEnd"/>
      <w:r w:rsidRPr="00B90180">
        <w:rPr>
          <w:rFonts w:ascii="Cambria" w:hAnsi="Cambria"/>
          <w:lang w:val="en-US"/>
        </w:rPr>
        <w:t xml:space="preserve"> </w:t>
      </w:r>
      <w:proofErr w:type="spellStart"/>
      <w:r w:rsidRPr="00B90180">
        <w:rPr>
          <w:rFonts w:ascii="Cambria" w:hAnsi="Cambria"/>
          <w:lang w:val="en-US"/>
        </w:rPr>
        <w:t>gjuhën</w:t>
      </w:r>
      <w:proofErr w:type="spellEnd"/>
      <w:r w:rsidRPr="00B90180">
        <w:rPr>
          <w:rFonts w:ascii="Cambria" w:hAnsi="Cambria"/>
          <w:lang w:val="en-US"/>
        </w:rPr>
        <w:t xml:space="preserve"> </w:t>
      </w:r>
      <w:proofErr w:type="spellStart"/>
      <w:r w:rsidRPr="00B90180">
        <w:rPr>
          <w:rFonts w:ascii="Cambria" w:hAnsi="Cambria"/>
          <w:lang w:val="en-US"/>
        </w:rPr>
        <w:t>shqipe</w:t>
      </w:r>
      <w:proofErr w:type="spellEnd"/>
      <w:r w:rsidRPr="00B90180">
        <w:rPr>
          <w:rFonts w:ascii="Cambria" w:hAnsi="Cambria"/>
          <w:lang w:val="en-US"/>
        </w:rPr>
        <w:t xml:space="preserve">: </w:t>
      </w:r>
      <w:hyperlink r:id="rId1" w:history="1">
        <w:r w:rsidRPr="00B90180">
          <w:rPr>
            <w:rStyle w:val="Hyperlink"/>
            <w:rFonts w:ascii="Cambria" w:hAnsi="Cambria"/>
            <w:lang w:val="en-US"/>
          </w:rPr>
          <w:t>https://www.mei-ks.net/repository/docs/Traktati_i_Lisbones_-_Verzioni_i_Konsoliduar.pdf</w:t>
        </w:r>
      </w:hyperlink>
      <w:r w:rsidRPr="00B90180">
        <w:rPr>
          <w:rFonts w:ascii="Cambria" w:hAnsi="Cambria"/>
          <w:lang w:val="en-US"/>
        </w:rPr>
        <w:t xml:space="preserve"> </w:t>
      </w:r>
    </w:p>
  </w:footnote>
  <w:footnote w:id="5">
    <w:p w14:paraId="752E86D8"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GB" w:eastAsia="fr-BE"/>
        </w:rPr>
        <w:t>Rregullorja</w:t>
      </w:r>
      <w:proofErr w:type="spellEnd"/>
      <w:r w:rsidRPr="00B90180">
        <w:rPr>
          <w:rFonts w:ascii="Cambria" w:hAnsi="Cambria"/>
          <w:lang w:val="en-GB" w:eastAsia="fr-BE"/>
        </w:rPr>
        <w:t xml:space="preserve"> e </w:t>
      </w:r>
      <w:proofErr w:type="spellStart"/>
      <w:r w:rsidRPr="00B90180">
        <w:rPr>
          <w:rFonts w:ascii="Cambria" w:hAnsi="Cambria"/>
          <w:lang w:val="en-GB" w:eastAsia="fr-BE"/>
        </w:rPr>
        <w:t>Këshillit</w:t>
      </w:r>
      <w:proofErr w:type="spellEnd"/>
      <w:r w:rsidRPr="00B90180">
        <w:rPr>
          <w:rFonts w:ascii="Cambria" w:hAnsi="Cambria"/>
          <w:lang w:val="en-GB" w:eastAsia="fr-BE"/>
        </w:rPr>
        <w:t xml:space="preserve"> (KE) </w:t>
      </w:r>
      <w:proofErr w:type="spellStart"/>
      <w:r w:rsidRPr="00B90180">
        <w:rPr>
          <w:rFonts w:ascii="Cambria" w:hAnsi="Cambria"/>
          <w:lang w:val="en-GB" w:eastAsia="fr-BE"/>
        </w:rPr>
        <w:t>Nr</w:t>
      </w:r>
      <w:proofErr w:type="spellEnd"/>
      <w:r w:rsidRPr="00B90180">
        <w:rPr>
          <w:rFonts w:ascii="Cambria" w:hAnsi="Cambria"/>
          <w:lang w:val="en-GB" w:eastAsia="fr-BE"/>
        </w:rPr>
        <w:t xml:space="preserve">. 1/2003 </w:t>
      </w:r>
      <w:r w:rsidRPr="00B90180">
        <w:rPr>
          <w:rFonts w:ascii="Cambria" w:hAnsi="Cambria"/>
        </w:rPr>
        <w:t>[</w:t>
      </w:r>
      <w:r w:rsidRPr="00B90180">
        <w:rPr>
          <w:rFonts w:ascii="Cambria" w:hAnsi="Cambria"/>
          <w:i/>
          <w:lang w:val="en-GB" w:eastAsia="fr-BE"/>
        </w:rPr>
        <w:t xml:space="preserve">Council Regulation (EC) No 1/2003 of 16 December 2002 on the implementation of the rules on competition laid down in Articles 81 and 82 of the Treaty with amendments (OJ L 1, 04.01.2003, p. 1-25)] </w:t>
      </w:r>
      <w:hyperlink r:id="rId2" w:history="1">
        <w:r w:rsidRPr="00B90180">
          <w:rPr>
            <w:rStyle w:val="Hyperlink"/>
            <w:rFonts w:ascii="Cambria" w:hAnsi="Cambria"/>
            <w:lang w:val="en-GB" w:eastAsia="fr-BE"/>
          </w:rPr>
          <w:t>https://eur-lex.europa.eu/legal-content/EN/TXT/PDF/?uri=CELEX:32003R0001&amp;from=en</w:t>
        </w:r>
      </w:hyperlink>
      <w:r w:rsidRPr="00B90180">
        <w:rPr>
          <w:rFonts w:ascii="Cambria" w:hAnsi="Cambria"/>
          <w:lang w:val="en-GB" w:eastAsia="fr-BE"/>
        </w:rPr>
        <w:t xml:space="preserve"> </w:t>
      </w:r>
    </w:p>
  </w:footnote>
  <w:footnote w:id="6">
    <w:p w14:paraId="14F80388"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GB"/>
        </w:rPr>
        <w:t>Rregullorja</w:t>
      </w:r>
      <w:proofErr w:type="spellEnd"/>
      <w:r w:rsidRPr="00B90180">
        <w:rPr>
          <w:rFonts w:ascii="Cambria" w:hAnsi="Cambria"/>
          <w:lang w:val="en-GB"/>
        </w:rPr>
        <w:t xml:space="preserve"> e </w:t>
      </w:r>
      <w:proofErr w:type="spellStart"/>
      <w:r w:rsidRPr="00B90180">
        <w:rPr>
          <w:rFonts w:ascii="Cambria" w:hAnsi="Cambria"/>
          <w:lang w:val="en-GB"/>
        </w:rPr>
        <w:t>Komisionit</w:t>
      </w:r>
      <w:proofErr w:type="spellEnd"/>
      <w:r w:rsidRPr="00B90180">
        <w:rPr>
          <w:rFonts w:ascii="Cambria" w:hAnsi="Cambria"/>
          <w:lang w:val="en-GB"/>
        </w:rPr>
        <w:t xml:space="preserve"> (KE) </w:t>
      </w:r>
      <w:proofErr w:type="spellStart"/>
      <w:r w:rsidRPr="00B90180">
        <w:rPr>
          <w:rFonts w:ascii="Cambria" w:hAnsi="Cambria"/>
          <w:lang w:val="en-GB"/>
        </w:rPr>
        <w:t>Nr</w:t>
      </w:r>
      <w:proofErr w:type="spellEnd"/>
      <w:r w:rsidRPr="00B90180">
        <w:rPr>
          <w:rFonts w:ascii="Cambria" w:hAnsi="Cambria"/>
          <w:lang w:val="en-GB"/>
        </w:rPr>
        <w:t>. 773/2004 [</w:t>
      </w:r>
      <w:r w:rsidRPr="00B90180">
        <w:rPr>
          <w:rFonts w:ascii="Cambria" w:hAnsi="Cambria"/>
          <w:i/>
          <w:lang w:val="en-GB"/>
        </w:rPr>
        <w:t xml:space="preserve">Commission Regulation (EC) No 773/2004 of 7 April 2004 relating to the conduct of proceedings by the Commission pursuant to Articles 81 and 82 of the EC Treaty (OJ L 123, 27.04.2004, p. 18-24)] </w:t>
      </w:r>
      <w:hyperlink r:id="rId3" w:history="1">
        <w:r w:rsidRPr="00B90180">
          <w:rPr>
            <w:rStyle w:val="Hyperlink"/>
            <w:rFonts w:ascii="Cambria" w:hAnsi="Cambria"/>
            <w:lang w:val="en-GB"/>
          </w:rPr>
          <w:t>https://eur-lex.europa.eu/legal-content/EN/TXT/PDF/?uri=CELEX:32004R0773&amp;from=EN</w:t>
        </w:r>
      </w:hyperlink>
      <w:r w:rsidRPr="00B90180">
        <w:rPr>
          <w:rFonts w:ascii="Cambria" w:hAnsi="Cambria"/>
          <w:lang w:val="en-GB"/>
        </w:rPr>
        <w:t xml:space="preserve"> </w:t>
      </w:r>
    </w:p>
  </w:footnote>
  <w:footnote w:id="7">
    <w:p w14:paraId="09AC4403"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GB"/>
        </w:rPr>
        <w:t>Udhëzime</w:t>
      </w:r>
      <w:proofErr w:type="spellEnd"/>
      <w:r w:rsidRPr="00B90180">
        <w:rPr>
          <w:rFonts w:ascii="Cambria" w:hAnsi="Cambria"/>
          <w:lang w:val="en-GB"/>
        </w:rPr>
        <w:t xml:space="preserve"> </w:t>
      </w:r>
      <w:proofErr w:type="spellStart"/>
      <w:r w:rsidRPr="00B90180">
        <w:rPr>
          <w:rFonts w:ascii="Cambria" w:hAnsi="Cambria"/>
          <w:lang w:val="en-GB"/>
        </w:rPr>
        <w:t>praktike</w:t>
      </w:r>
      <w:proofErr w:type="spellEnd"/>
      <w:r w:rsidRPr="00B90180">
        <w:rPr>
          <w:rFonts w:ascii="Cambria" w:hAnsi="Cambria"/>
          <w:lang w:val="en-GB"/>
        </w:rPr>
        <w:t xml:space="preserve"> </w:t>
      </w:r>
      <w:r w:rsidRPr="00B90180">
        <w:rPr>
          <w:rFonts w:ascii="Cambria" w:hAnsi="Cambria"/>
        </w:rPr>
        <w:t>[</w:t>
      </w:r>
      <w:r w:rsidRPr="00B90180">
        <w:rPr>
          <w:rFonts w:ascii="Cambria" w:hAnsi="Cambria"/>
          <w:i/>
          <w:lang w:val="en-GB"/>
        </w:rPr>
        <w:t>Guidelines on the method of setting fines imposed pursuant to Article 23(2)(a) of Regulation No 1/2003 (OJ C 210, 1.09.2006, p. 2-5)]</w:t>
      </w:r>
      <w:r w:rsidRPr="00B90180">
        <w:rPr>
          <w:rFonts w:ascii="Cambria" w:hAnsi="Cambria"/>
        </w:rPr>
        <w:t xml:space="preserve"> </w:t>
      </w:r>
      <w:hyperlink r:id="rId4" w:history="1">
        <w:r w:rsidRPr="00B90180">
          <w:rPr>
            <w:rStyle w:val="Hyperlink"/>
            <w:rFonts w:ascii="Cambria" w:hAnsi="Cambria"/>
            <w:lang w:val="en-GB"/>
          </w:rPr>
          <w:t>https://eur-lex.europa.eu/legal-content/EN/TXT/PDF/?uri=CELEX:52006XC0901(01)&amp;from=EN</w:t>
        </w:r>
      </w:hyperlink>
      <w:r w:rsidRPr="00B90180">
        <w:rPr>
          <w:rFonts w:ascii="Cambria" w:hAnsi="Cambria"/>
          <w:lang w:val="en-GB"/>
        </w:rPr>
        <w:t xml:space="preserve"> </w:t>
      </w:r>
    </w:p>
  </w:footnote>
  <w:footnote w:id="8">
    <w:p w14:paraId="30B9E522" w14:textId="77777777" w:rsidR="007F6086" w:rsidRPr="00B90180" w:rsidRDefault="007F6086" w:rsidP="001622C0">
      <w:pPr>
        <w:pStyle w:val="FootnoteText"/>
        <w:rPr>
          <w:rFonts w:ascii="Cambria" w:hAnsi="Cambria"/>
          <w:i/>
          <w:lang w:val="en-GB"/>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lang w:val="en-US"/>
        </w:rPr>
        <w:t>Njoftimi</w:t>
      </w:r>
      <w:proofErr w:type="spellEnd"/>
      <w:r w:rsidRPr="00B90180">
        <w:rPr>
          <w:rFonts w:ascii="Cambria" w:hAnsi="Cambria"/>
          <w:lang w:val="en-US"/>
        </w:rPr>
        <w:t xml:space="preserve"> </w:t>
      </w:r>
      <w:proofErr w:type="spellStart"/>
      <w:r w:rsidRPr="00B90180">
        <w:rPr>
          <w:rFonts w:ascii="Cambria" w:hAnsi="Cambria"/>
          <w:lang w:val="en-US"/>
        </w:rPr>
        <w:t>i</w:t>
      </w:r>
      <w:proofErr w:type="spellEnd"/>
      <w:r w:rsidRPr="00B90180">
        <w:rPr>
          <w:rFonts w:ascii="Cambria" w:hAnsi="Cambria"/>
          <w:lang w:val="en-US"/>
        </w:rPr>
        <w:t xml:space="preserve"> </w:t>
      </w:r>
      <w:proofErr w:type="spellStart"/>
      <w:r w:rsidRPr="00B90180">
        <w:rPr>
          <w:rFonts w:ascii="Cambria" w:hAnsi="Cambria"/>
          <w:lang w:val="en-US"/>
        </w:rPr>
        <w:t>Komisionit</w:t>
      </w:r>
      <w:proofErr w:type="spellEnd"/>
      <w:r w:rsidRPr="00B90180">
        <w:rPr>
          <w:rFonts w:ascii="Cambria" w:hAnsi="Cambria"/>
          <w:lang w:val="en-US"/>
        </w:rPr>
        <w:t xml:space="preserve"> [</w:t>
      </w:r>
      <w:r w:rsidRPr="00B90180">
        <w:rPr>
          <w:rFonts w:ascii="Cambria" w:hAnsi="Cambria"/>
          <w:i/>
          <w:lang w:val="en-GB"/>
        </w:rPr>
        <w:t xml:space="preserve">Commission Notice on immunity from fines and reduction of fines in cartel cases (OJ C 298, 8.12.2006, p. 17)] </w:t>
      </w:r>
      <w:hyperlink r:id="rId5" w:history="1">
        <w:r w:rsidRPr="00B90180">
          <w:rPr>
            <w:rStyle w:val="Hyperlink"/>
            <w:rFonts w:ascii="Cambria" w:hAnsi="Cambria"/>
            <w:lang w:val="en-GB"/>
          </w:rPr>
          <w:t>https://eur-lex.europa.eu/legal-content/EN/TXT/PDF/?uri=CELEX:52006XC1208(04)&amp;from=EN</w:t>
        </w:r>
      </w:hyperlink>
      <w:r w:rsidRPr="00B90180">
        <w:rPr>
          <w:rFonts w:ascii="Cambria" w:hAnsi="Cambria"/>
          <w:lang w:val="en-GB"/>
        </w:rPr>
        <w:t xml:space="preserve"> </w:t>
      </w:r>
      <w:r w:rsidRPr="00B90180">
        <w:rPr>
          <w:rFonts w:ascii="Cambria" w:hAnsi="Cambria"/>
          <w:i/>
          <w:lang w:val="en-GB"/>
        </w:rPr>
        <w:t xml:space="preserve">amended with a Notice in 2015 (OJ C 256, 5.8.2015, p. 1) </w:t>
      </w:r>
      <w:hyperlink r:id="rId6" w:history="1">
        <w:r w:rsidRPr="00B90180">
          <w:rPr>
            <w:rStyle w:val="Hyperlink"/>
            <w:rFonts w:ascii="Cambria" w:hAnsi="Cambria"/>
            <w:lang w:val="en-GB"/>
          </w:rPr>
          <w:t>https://eur-lex.europa.eu/legal-content/EN/TXT/PDF/?uri=CELEX:02006XC1208(04)-20150805&amp;from=EN</w:t>
        </w:r>
      </w:hyperlink>
    </w:p>
  </w:footnote>
  <w:footnote w:id="9">
    <w:p w14:paraId="66980C1C"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Njoftimi i Komisionit, [</w:t>
      </w:r>
      <w:r w:rsidRPr="00B90180">
        <w:rPr>
          <w:rFonts w:ascii="Cambria" w:hAnsi="Cambria"/>
          <w:i/>
          <w:lang w:val="en-GB"/>
        </w:rPr>
        <w:t xml:space="preserve">Commission Notice on the definition of relevant market for the purposes of Community competition law (OJ C 372, 9.12.1997, p. 5-13)] </w:t>
      </w:r>
      <w:hyperlink r:id="rId7" w:history="1">
        <w:r w:rsidRPr="00B90180">
          <w:rPr>
            <w:rStyle w:val="Hyperlink"/>
            <w:rFonts w:ascii="Cambria" w:hAnsi="Cambria"/>
            <w:lang w:val="en-GB"/>
          </w:rPr>
          <w:t>https://eur-lex.europa.eu/legal-content/EN/TXT/PDF/?uri=CELEX:31997Y1209(01)&amp;from=EN</w:t>
        </w:r>
      </w:hyperlink>
      <w:r w:rsidRPr="00B90180">
        <w:rPr>
          <w:rFonts w:ascii="Cambria" w:hAnsi="Cambria"/>
          <w:lang w:val="en-GB"/>
        </w:rPr>
        <w:t xml:space="preserve"> </w:t>
      </w:r>
    </w:p>
  </w:footnote>
  <w:footnote w:id="10">
    <w:p w14:paraId="7215884D"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Njoftimi i Komisionit </w:t>
      </w:r>
      <w:r w:rsidRPr="00B90180">
        <w:rPr>
          <w:rFonts w:ascii="Cambria" w:hAnsi="Cambria"/>
          <w:i/>
        </w:rPr>
        <w:t>[C</w:t>
      </w:r>
      <w:proofErr w:type="spellStart"/>
      <w:r w:rsidRPr="00B90180">
        <w:rPr>
          <w:rFonts w:ascii="Cambria" w:hAnsi="Cambria"/>
          <w:i/>
          <w:lang w:val="en-GB"/>
        </w:rPr>
        <w:t>ommission</w:t>
      </w:r>
      <w:proofErr w:type="spellEnd"/>
      <w:r w:rsidRPr="00B90180">
        <w:rPr>
          <w:rFonts w:ascii="Cambria" w:hAnsi="Cambria"/>
          <w:i/>
          <w:lang w:val="en-GB"/>
        </w:rPr>
        <w:t xml:space="preserve"> Notice on   the best practices for the   conduct of proceedings concerning Articles 101 and 102 TFEU (OJ C 308, 20.10.2011, p. 6-32)] </w:t>
      </w:r>
    </w:p>
  </w:footnote>
  <w:footnote w:id="11">
    <w:p w14:paraId="3F1AF506"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Komunikatë nga Komisioni [</w:t>
      </w:r>
      <w:r w:rsidRPr="00B90180">
        <w:rPr>
          <w:rFonts w:ascii="Cambria" w:hAnsi="Cambria"/>
          <w:i/>
          <w:lang w:val="en-GB"/>
        </w:rPr>
        <w:t>Communication from the Commission — Notice on agreements of minor importance which do not appreciably restrict competition under Article 101(1) of the Treaty on the Functioning of the European Union (De Minimis Notice) (OJ C 291, 30.08.2014, p. 1-4)]</w:t>
      </w:r>
      <w:r w:rsidRPr="00B90180">
        <w:rPr>
          <w:rFonts w:ascii="Cambria" w:hAnsi="Cambria"/>
        </w:rPr>
        <w:t xml:space="preserve"> </w:t>
      </w:r>
      <w:hyperlink r:id="rId8" w:history="1">
        <w:r w:rsidRPr="00B90180">
          <w:rPr>
            <w:rStyle w:val="Hyperlink"/>
            <w:rFonts w:ascii="Cambria" w:hAnsi="Cambria"/>
            <w:lang w:val="en-GB"/>
          </w:rPr>
          <w:t>https://eur-lex.europa.eu/legal-content/EN/TXT/PDF/?uri=CELEX:52014XC0830(01)&amp;from=EN</w:t>
        </w:r>
      </w:hyperlink>
      <w:r w:rsidRPr="00B90180">
        <w:rPr>
          <w:rFonts w:ascii="Cambria" w:hAnsi="Cambria"/>
          <w:lang w:val="en-GB"/>
        </w:rPr>
        <w:t xml:space="preserve"> </w:t>
      </w:r>
    </w:p>
  </w:footnote>
  <w:footnote w:id="12">
    <w:p w14:paraId="0836B52F"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Rregullorja e Komisioni (BE) 330/2010 [</w:t>
      </w:r>
      <w:r w:rsidRPr="00B90180">
        <w:rPr>
          <w:rFonts w:ascii="Cambria" w:hAnsi="Cambria"/>
          <w:i/>
          <w:lang w:val="en-GB"/>
        </w:rPr>
        <w:t>Commission Regulation (EU) 330/2010 of 20 April 2010 on the application of Article 101(3) of the Treaty on the Functioning of the European Union to categories of vertical agreements and concerted practices (OJ L 102, 23.04.2010, p. 1-7)]</w:t>
      </w:r>
      <w:r w:rsidRPr="00B90180">
        <w:rPr>
          <w:rFonts w:ascii="Cambria" w:hAnsi="Cambria"/>
          <w:lang w:val="en-GB"/>
        </w:rPr>
        <w:t xml:space="preserve"> </w:t>
      </w:r>
      <w:hyperlink r:id="rId9" w:history="1">
        <w:r w:rsidRPr="00B90180">
          <w:rPr>
            <w:rStyle w:val="Hyperlink"/>
            <w:rFonts w:ascii="Cambria" w:hAnsi="Cambria"/>
            <w:lang w:val="en-GB"/>
          </w:rPr>
          <w:t>https://eur-lex.europa.eu/legal-content/EN/TXT/PDF/?uri=CELEX:32010R0330&amp;from=EN</w:t>
        </w:r>
      </w:hyperlink>
      <w:r w:rsidRPr="00B90180">
        <w:rPr>
          <w:rFonts w:ascii="Cambria" w:hAnsi="Cambria"/>
          <w:lang w:val="en-GB"/>
        </w:rPr>
        <w:t xml:space="preserve"> </w:t>
      </w:r>
    </w:p>
  </w:footnote>
  <w:footnote w:id="13">
    <w:p w14:paraId="35D182EC"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Rregullorja e Komisionit (BE) Nr. 461/2010 [</w:t>
      </w:r>
      <w:r w:rsidRPr="00B90180">
        <w:rPr>
          <w:rFonts w:ascii="Cambria" w:hAnsi="Cambria"/>
          <w:i/>
          <w:lang w:val="en-GB"/>
        </w:rPr>
        <w:t>Commission Regulation (EU) No 461/2010 of 27 May 2010 on the application of Article 101(3) of the Treaty on the Functioning of the European Union to categories of vertical agreements and concerted practices in the motor vehicle sector (OJ L 129, 28.05.2010, p. 52-57)]</w:t>
      </w:r>
      <w:r w:rsidRPr="00B90180">
        <w:rPr>
          <w:rFonts w:ascii="Cambria" w:hAnsi="Cambria"/>
        </w:rPr>
        <w:t xml:space="preserve"> </w:t>
      </w:r>
      <w:hyperlink r:id="rId10" w:history="1">
        <w:r w:rsidRPr="00B90180">
          <w:rPr>
            <w:rStyle w:val="Hyperlink"/>
            <w:rFonts w:ascii="Cambria" w:hAnsi="Cambria"/>
            <w:lang w:val="en-GB"/>
          </w:rPr>
          <w:t>https://eur-lex.europa.eu/legal-content/EN/TXT/PDF/?uri=CELEX:32010R0461&amp;from=EN</w:t>
        </w:r>
      </w:hyperlink>
      <w:r w:rsidRPr="00B90180">
        <w:rPr>
          <w:rFonts w:ascii="Cambria" w:hAnsi="Cambria"/>
          <w:lang w:val="en-GB"/>
        </w:rPr>
        <w:t xml:space="preserve">  </w:t>
      </w:r>
    </w:p>
  </w:footnote>
  <w:footnote w:id="14">
    <w:p w14:paraId="41987013"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Udhëzime Praktike, [</w:t>
      </w:r>
      <w:r w:rsidRPr="00B90180">
        <w:rPr>
          <w:rFonts w:ascii="Cambria" w:hAnsi="Cambria"/>
          <w:i/>
          <w:lang w:val="en-GB"/>
        </w:rPr>
        <w:t>Guidelines on the applicability of Article 101 of the Treaty on the Functioning of the European Union to horizontal cooperation agreements (OJ C 11, 14.01.2011, p. 1-72)]</w:t>
      </w:r>
      <w:r w:rsidRPr="00B90180">
        <w:rPr>
          <w:rFonts w:ascii="Cambria" w:hAnsi="Cambria"/>
        </w:rPr>
        <w:t xml:space="preserve"> </w:t>
      </w:r>
      <w:hyperlink r:id="rId11" w:history="1">
        <w:r w:rsidRPr="00B90180">
          <w:rPr>
            <w:rStyle w:val="Hyperlink"/>
            <w:rFonts w:ascii="Cambria" w:hAnsi="Cambria"/>
            <w:lang w:val="en-GB"/>
          </w:rPr>
          <w:t>https://eur-lex.europa.eu/legal-content/EN/TXT/PDF/?uri=CELEX:52011XC0114(04)&amp;from=EN</w:t>
        </w:r>
      </w:hyperlink>
      <w:r w:rsidRPr="00B90180">
        <w:rPr>
          <w:rFonts w:ascii="Cambria" w:hAnsi="Cambria"/>
          <w:lang w:val="en-GB"/>
        </w:rPr>
        <w:t xml:space="preserve"> </w:t>
      </w:r>
    </w:p>
  </w:footnote>
  <w:footnote w:id="15">
    <w:p w14:paraId="101068AA"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Rregullore e Komisionit Nr. 267/2010 [</w:t>
      </w:r>
      <w:r w:rsidRPr="00B90180">
        <w:rPr>
          <w:rFonts w:ascii="Cambria" w:hAnsi="Cambria"/>
          <w:i/>
          <w:lang w:val="en-GB"/>
        </w:rPr>
        <w:t>Commission Regulation (EU) No 267/2010 of 24 March 2010 on the application of Article 101(3) of the Treaty on the Functioning of the European Union to certain categories of agreements, decisions and concerted practices in the insurance sector (OJ L 83, 30.03.2010, p. 1-7)]</w:t>
      </w:r>
      <w:r w:rsidRPr="00B90180">
        <w:rPr>
          <w:rFonts w:ascii="Cambria" w:hAnsi="Cambria"/>
        </w:rPr>
        <w:t xml:space="preserve"> </w:t>
      </w:r>
      <w:hyperlink r:id="rId12" w:history="1">
        <w:r w:rsidRPr="00B90180">
          <w:rPr>
            <w:rStyle w:val="Hyperlink"/>
            <w:rFonts w:ascii="Cambria" w:hAnsi="Cambria"/>
            <w:lang w:val="en-GB"/>
          </w:rPr>
          <w:t>https://eur-lex.europa.eu/LexUriServ/LexUriServ.do?uri=OJ:L:2010:083:0001:0007:EN:PDF</w:t>
        </w:r>
      </w:hyperlink>
      <w:r w:rsidRPr="00B90180">
        <w:rPr>
          <w:rFonts w:ascii="Cambria" w:hAnsi="Cambria"/>
          <w:lang w:val="en-GB"/>
        </w:rPr>
        <w:t xml:space="preserve"> </w:t>
      </w:r>
    </w:p>
  </w:footnote>
  <w:footnote w:id="16">
    <w:p w14:paraId="608BFA7A"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Rregullorja e Komisionit 169/2009 [</w:t>
      </w:r>
      <w:r w:rsidRPr="00B90180">
        <w:rPr>
          <w:rFonts w:ascii="Cambria" w:hAnsi="Cambria"/>
          <w:i/>
          <w:lang w:val="en-GB"/>
        </w:rPr>
        <w:t>Council Regulation (EC) No 169/2009 of 26 February 2009 applying rules of competition to transport by rail, road and inland waterway (OJ L 61, 5.03.2009, p. 1)]</w:t>
      </w:r>
      <w:r w:rsidRPr="00B90180">
        <w:rPr>
          <w:rFonts w:ascii="Cambria" w:hAnsi="Cambria"/>
        </w:rPr>
        <w:t xml:space="preserve"> </w:t>
      </w:r>
      <w:hyperlink r:id="rId13" w:history="1">
        <w:r w:rsidRPr="00B90180">
          <w:rPr>
            <w:rStyle w:val="Hyperlink"/>
            <w:rFonts w:ascii="Cambria" w:hAnsi="Cambria"/>
            <w:lang w:val="en-GB"/>
          </w:rPr>
          <w:t>https://eur-lex.europa.eu/legal-content/EN/TXT/PDF/?uri=CELEX:32009R0169&amp;from=EN</w:t>
        </w:r>
      </w:hyperlink>
      <w:r w:rsidRPr="00B90180">
        <w:rPr>
          <w:rFonts w:ascii="Cambria" w:hAnsi="Cambria"/>
          <w:lang w:val="en-GB"/>
        </w:rPr>
        <w:t xml:space="preserve"> </w:t>
      </w:r>
    </w:p>
  </w:footnote>
  <w:footnote w:id="17">
    <w:p w14:paraId="7515076A"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Rregullorja e Komisionit 139/2004 [</w:t>
      </w:r>
      <w:r w:rsidRPr="00B90180">
        <w:rPr>
          <w:rFonts w:ascii="Cambria" w:hAnsi="Cambria"/>
          <w:i/>
          <w:lang w:val="en-GB"/>
        </w:rPr>
        <w:t xml:space="preserve">Council Regulation (EC) </w:t>
      </w:r>
      <w:bookmarkStart w:id="5" w:name="_Hlk516147614"/>
      <w:r w:rsidRPr="00B90180">
        <w:rPr>
          <w:rFonts w:ascii="Cambria" w:hAnsi="Cambria"/>
          <w:i/>
          <w:lang w:val="en-GB"/>
        </w:rPr>
        <w:t>No 139/2004 of 20 January 2004 on the control of concentrations between undertakings (the EC Merger Regulation)</w:t>
      </w:r>
      <w:bookmarkEnd w:id="5"/>
      <w:r w:rsidRPr="00B90180">
        <w:rPr>
          <w:rFonts w:ascii="Cambria" w:hAnsi="Cambria"/>
          <w:i/>
          <w:lang w:val="en-GB"/>
        </w:rPr>
        <w:t xml:space="preserve"> (OJ L 24, 29.01.2004, p. 1-22), amended by Commission Implementing Regulation No 1269/2013]</w:t>
      </w:r>
      <w:r w:rsidRPr="00B90180">
        <w:rPr>
          <w:rFonts w:ascii="Cambria" w:hAnsi="Cambria"/>
        </w:rPr>
        <w:t xml:space="preserve"> </w:t>
      </w:r>
      <w:hyperlink r:id="rId14" w:history="1">
        <w:r w:rsidRPr="00B90180">
          <w:rPr>
            <w:rStyle w:val="Hyperlink"/>
            <w:rFonts w:ascii="Cambria" w:hAnsi="Cambria"/>
          </w:rPr>
          <w:t>https://eur-lex.europa.eu/legal-content/EN/TXT/PDF/?uri=CELEX:32004R0139&amp;from=EN</w:t>
        </w:r>
      </w:hyperlink>
      <w:r w:rsidRPr="00B90180">
        <w:rPr>
          <w:rFonts w:ascii="Cambria" w:hAnsi="Cambria"/>
        </w:rPr>
        <w:t xml:space="preserve"> </w:t>
      </w:r>
    </w:p>
  </w:footnote>
  <w:footnote w:id="18">
    <w:p w14:paraId="42CA5954"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Rregullorja e Komisionit 802/2004 [</w:t>
      </w:r>
      <w:r w:rsidRPr="00B90180">
        <w:rPr>
          <w:rFonts w:ascii="Cambria" w:hAnsi="Cambria"/>
          <w:i/>
          <w:lang w:val="en-GB"/>
        </w:rPr>
        <w:t>Commission Regulation (EC) No 802/2004 of 21 April 2004 implementing Council Regulation (EC) No 139/2004 of 20 January 2004 on the control of concentrations between undertakings (OJ L 133, 30.04.2004, p. 1-39)</w:t>
      </w:r>
      <w:r w:rsidRPr="00B90180">
        <w:rPr>
          <w:rStyle w:val="FootnoteReference"/>
          <w:rFonts w:ascii="Cambria" w:hAnsi="Cambria"/>
          <w:i/>
          <w:lang w:val="en-GB"/>
        </w:rPr>
        <w:footnoteRef/>
      </w:r>
      <w:r w:rsidRPr="00B90180">
        <w:rPr>
          <w:rFonts w:ascii="Cambria" w:hAnsi="Cambria"/>
          <w:i/>
          <w:lang w:val="en-GB"/>
        </w:rPr>
        <w:t>, amended by Regulation No 1348/2015.]</w:t>
      </w:r>
      <w:r w:rsidRPr="00B90180">
        <w:rPr>
          <w:rFonts w:ascii="Cambria" w:hAnsi="Cambria"/>
        </w:rPr>
        <w:t xml:space="preserve"> </w:t>
      </w:r>
      <w:hyperlink r:id="rId15" w:history="1">
        <w:r w:rsidRPr="00B90180">
          <w:rPr>
            <w:rStyle w:val="Hyperlink"/>
            <w:rFonts w:ascii="Cambria" w:hAnsi="Cambria"/>
            <w:lang w:val="en-GB"/>
          </w:rPr>
          <w:t>https://eur-lex.europa.eu/legal-content/EN/TXT/PDF/?uri=CELEX:32004R0802&amp;from=EN</w:t>
        </w:r>
      </w:hyperlink>
      <w:r w:rsidRPr="00B90180">
        <w:rPr>
          <w:rFonts w:ascii="Cambria" w:hAnsi="Cambria"/>
          <w:lang w:val="en-GB"/>
        </w:rPr>
        <w:t xml:space="preserve"> </w:t>
      </w:r>
    </w:p>
  </w:footnote>
  <w:footnote w:id="19">
    <w:p w14:paraId="67D1D40A" w14:textId="77777777" w:rsidR="007F6086" w:rsidRPr="00B90180" w:rsidRDefault="007F6086" w:rsidP="001622C0">
      <w:pPr>
        <w:pStyle w:val="FootnoteText"/>
        <w:rPr>
          <w:rFonts w:ascii="Cambria" w:hAnsi="Cambria"/>
          <w:lang w:val="en-US"/>
        </w:rPr>
      </w:pPr>
      <w:r w:rsidRPr="00B90180">
        <w:rPr>
          <w:rStyle w:val="FootnoteReference"/>
          <w:rFonts w:ascii="Cambria" w:hAnsi="Cambria"/>
        </w:rPr>
        <w:footnoteRef/>
      </w:r>
      <w:r w:rsidRPr="00B90180">
        <w:rPr>
          <w:rFonts w:ascii="Cambria" w:hAnsi="Cambria"/>
        </w:rPr>
        <w:t xml:space="preserve"> </w:t>
      </w:r>
      <w:proofErr w:type="spellStart"/>
      <w:r w:rsidRPr="00B90180">
        <w:rPr>
          <w:rFonts w:ascii="Cambria" w:hAnsi="Cambria" w:cstheme="minorHAnsi"/>
          <w:lang w:val="en-GB"/>
        </w:rPr>
        <w:t>RregulWlorja</w:t>
      </w:r>
      <w:proofErr w:type="spellEnd"/>
      <w:r w:rsidRPr="00B90180">
        <w:rPr>
          <w:rFonts w:ascii="Cambria" w:hAnsi="Cambria" w:cstheme="minorHAnsi"/>
          <w:lang w:val="en-GB"/>
        </w:rPr>
        <w:t xml:space="preserve"> e </w:t>
      </w:r>
      <w:proofErr w:type="spellStart"/>
      <w:r w:rsidRPr="00B90180">
        <w:rPr>
          <w:rFonts w:ascii="Cambria" w:hAnsi="Cambria" w:cstheme="minorHAnsi"/>
          <w:lang w:val="en-GB"/>
        </w:rPr>
        <w:t>Komisionit</w:t>
      </w:r>
      <w:proofErr w:type="spellEnd"/>
      <w:r w:rsidRPr="00B90180">
        <w:rPr>
          <w:rFonts w:ascii="Cambria" w:hAnsi="Cambria" w:cstheme="minorHAnsi"/>
          <w:lang w:val="en-GB"/>
        </w:rPr>
        <w:t xml:space="preserve"> (BE) </w:t>
      </w:r>
      <w:proofErr w:type="spellStart"/>
      <w:r w:rsidRPr="00B90180">
        <w:rPr>
          <w:rFonts w:ascii="Cambria" w:hAnsi="Cambria" w:cstheme="minorHAnsi"/>
          <w:lang w:val="en-GB"/>
        </w:rPr>
        <w:t>Nr</w:t>
      </w:r>
      <w:proofErr w:type="spellEnd"/>
      <w:r w:rsidRPr="00B90180">
        <w:rPr>
          <w:rFonts w:ascii="Cambria" w:hAnsi="Cambria" w:cstheme="minorHAnsi"/>
          <w:lang w:val="en-GB"/>
        </w:rPr>
        <w:t>. 316/2014 [</w:t>
      </w:r>
      <w:r w:rsidRPr="00B90180">
        <w:rPr>
          <w:rFonts w:ascii="Cambria" w:hAnsi="Cambria" w:cstheme="minorHAnsi"/>
          <w:i/>
          <w:lang w:val="en-GB"/>
        </w:rPr>
        <w:t xml:space="preserve">Commission Regulation (EU) No 316/2014 of 21 March 2014 on the application of Article 101(3) of the Treaty on the Functioning of the European Union to categories of technology transfer agreements (OJ L 93, 28.03.2014, p. 17-23)] </w:t>
      </w:r>
      <w:hyperlink r:id="rId16" w:history="1">
        <w:r w:rsidRPr="00B90180">
          <w:rPr>
            <w:rStyle w:val="Hyperlink"/>
            <w:rFonts w:ascii="Cambria" w:hAnsi="Cambria"/>
          </w:rPr>
          <w:t>https://eur-lex.europa.eu/legal-content/EN/TXT/PDF/?uri=CELEX:32014R0316&amp;from=EN</w:t>
        </w:r>
      </w:hyperlink>
      <w:r w:rsidRPr="00B90180">
        <w:rPr>
          <w:rFonts w:ascii="Cambria" w:hAnsi="Cambria"/>
        </w:rPr>
        <w:t xml:space="preserve"> </w:t>
      </w:r>
    </w:p>
  </w:footnote>
  <w:footnote w:id="20">
    <w:p w14:paraId="77C06C61" w14:textId="77777777" w:rsidR="007F6086" w:rsidRPr="005B54DA" w:rsidRDefault="007F6086" w:rsidP="001622C0">
      <w:pPr>
        <w:pStyle w:val="FootnoteText"/>
        <w:rPr>
          <w:rFonts w:ascii="Cambria" w:hAnsi="Cambria"/>
        </w:rPr>
      </w:pPr>
      <w:r w:rsidRPr="00B90180">
        <w:rPr>
          <w:rStyle w:val="FootnoteReference"/>
          <w:rFonts w:ascii="Cambria" w:hAnsi="Cambria"/>
        </w:rPr>
        <w:footnoteRef/>
      </w:r>
      <w:r w:rsidRPr="00B90180">
        <w:rPr>
          <w:rFonts w:ascii="Cambria" w:hAnsi="Cambria"/>
        </w:rPr>
        <w:t xml:space="preserve"> </w:t>
      </w:r>
      <w:r w:rsidRPr="00B90180">
        <w:rPr>
          <w:rFonts w:ascii="Cambria" w:hAnsi="Cambria" w:cstheme="minorHAnsi"/>
          <w:lang w:eastAsia="pl-PL"/>
        </w:rPr>
        <w:t xml:space="preserve">Direktiva e BE-së 2014/104/BE  </w:t>
      </w:r>
      <w:r w:rsidRPr="00B90180">
        <w:rPr>
          <w:rFonts w:ascii="Cambria" w:hAnsi="Cambria" w:cstheme="minorHAnsi"/>
          <w:i/>
          <w:lang w:eastAsia="pl-PL"/>
        </w:rPr>
        <w:t xml:space="preserve">[EU </w:t>
      </w:r>
      <w:proofErr w:type="spellStart"/>
      <w:r w:rsidRPr="00B90180">
        <w:rPr>
          <w:rFonts w:ascii="Cambria" w:hAnsi="Cambria" w:cstheme="minorHAnsi"/>
          <w:i/>
          <w:lang w:eastAsia="pl-PL"/>
        </w:rPr>
        <w:t>Directive</w:t>
      </w:r>
      <w:proofErr w:type="spellEnd"/>
      <w:r w:rsidRPr="00B90180">
        <w:rPr>
          <w:rFonts w:ascii="Cambria" w:hAnsi="Cambria" w:cstheme="minorHAnsi"/>
          <w:b/>
          <w:i/>
          <w:lang w:eastAsia="pl-PL"/>
        </w:rPr>
        <w:t xml:space="preserve"> </w:t>
      </w:r>
      <w:r w:rsidRPr="00B90180">
        <w:rPr>
          <w:rStyle w:val="Strong"/>
          <w:rFonts w:ascii="Cambria" w:hAnsi="Cambria" w:cstheme="minorHAnsi"/>
          <w:i/>
        </w:rPr>
        <w:t xml:space="preserve">2014/104/EU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the </w:t>
      </w:r>
      <w:proofErr w:type="spellStart"/>
      <w:r w:rsidRPr="00B90180">
        <w:rPr>
          <w:rStyle w:val="Strong"/>
          <w:rFonts w:ascii="Cambria" w:hAnsi="Cambria" w:cstheme="minorHAnsi"/>
          <w:i/>
        </w:rPr>
        <w:t>European</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Parliament</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and</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the Council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26 </w:t>
      </w:r>
      <w:proofErr w:type="spellStart"/>
      <w:r w:rsidRPr="00B90180">
        <w:rPr>
          <w:rStyle w:val="Strong"/>
          <w:rFonts w:ascii="Cambria" w:hAnsi="Cambria" w:cstheme="minorHAnsi"/>
          <w:i/>
        </w:rPr>
        <w:t>November</w:t>
      </w:r>
      <w:proofErr w:type="spellEnd"/>
      <w:r w:rsidRPr="00B90180">
        <w:rPr>
          <w:rStyle w:val="Strong"/>
          <w:rFonts w:ascii="Cambria" w:hAnsi="Cambria" w:cstheme="minorHAnsi"/>
          <w:i/>
          <w:lang w:eastAsia="pl-PL"/>
        </w:rPr>
        <w:t xml:space="preserve"> </w:t>
      </w:r>
      <w:r w:rsidRPr="00B90180">
        <w:rPr>
          <w:rStyle w:val="Strong"/>
          <w:rFonts w:ascii="Cambria" w:hAnsi="Cambria" w:cstheme="minorHAnsi"/>
          <w:i/>
        </w:rPr>
        <w:t xml:space="preserve">2014 </w:t>
      </w:r>
      <w:proofErr w:type="spellStart"/>
      <w:r w:rsidRPr="00B90180">
        <w:rPr>
          <w:rStyle w:val="Strong"/>
          <w:rFonts w:ascii="Cambria" w:hAnsi="Cambria" w:cstheme="minorHAnsi"/>
          <w:i/>
        </w:rPr>
        <w:t>on</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certain</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rules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governing</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actions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for</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damages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under</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national</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law</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for</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infringements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the </w:t>
      </w:r>
      <w:proofErr w:type="spellStart"/>
      <w:r w:rsidRPr="00B90180">
        <w:rPr>
          <w:rStyle w:val="Strong"/>
          <w:rFonts w:ascii="Cambria" w:hAnsi="Cambria" w:cstheme="minorHAnsi"/>
          <w:i/>
        </w:rPr>
        <w:t>competition</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law</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provisions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the </w:t>
      </w:r>
      <w:proofErr w:type="spellStart"/>
      <w:r w:rsidRPr="00B90180">
        <w:rPr>
          <w:rStyle w:val="Strong"/>
          <w:rFonts w:ascii="Cambria" w:hAnsi="Cambria" w:cstheme="minorHAnsi"/>
          <w:i/>
        </w:rPr>
        <w:t>Member</w:t>
      </w:r>
      <w:proofErr w:type="spellEnd"/>
      <w:r w:rsidRPr="00B90180">
        <w:rPr>
          <w:rStyle w:val="Strong"/>
          <w:rFonts w:ascii="Cambria" w:hAnsi="Cambria" w:cstheme="minorHAnsi"/>
          <w:i/>
        </w:rPr>
        <w:t> </w:t>
      </w:r>
      <w:proofErr w:type="spellStart"/>
      <w:r w:rsidRPr="00B90180">
        <w:rPr>
          <w:rStyle w:val="Strong"/>
          <w:rFonts w:ascii="Cambria" w:hAnsi="Cambria" w:cstheme="minorHAnsi"/>
          <w:i/>
        </w:rPr>
        <w:t>States</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and</w:t>
      </w:r>
      <w:proofErr w:type="spellEnd"/>
      <w:r w:rsidRPr="00B90180">
        <w:rPr>
          <w:rStyle w:val="Strong"/>
          <w:rFonts w:ascii="Cambria" w:hAnsi="Cambria" w:cstheme="minorHAnsi"/>
          <w:i/>
        </w:rPr>
        <w:t xml:space="preserve"> </w:t>
      </w:r>
      <w:proofErr w:type="spellStart"/>
      <w:r w:rsidRPr="00B90180">
        <w:rPr>
          <w:rStyle w:val="Strong"/>
          <w:rFonts w:ascii="Cambria" w:hAnsi="Cambria" w:cstheme="minorHAnsi"/>
          <w:i/>
        </w:rPr>
        <w:t>of</w:t>
      </w:r>
      <w:proofErr w:type="spellEnd"/>
      <w:r w:rsidRPr="00B90180">
        <w:rPr>
          <w:rStyle w:val="Strong"/>
          <w:rFonts w:ascii="Cambria" w:hAnsi="Cambria" w:cstheme="minorHAnsi"/>
          <w:i/>
        </w:rPr>
        <w:t xml:space="preserve"> the </w:t>
      </w:r>
      <w:proofErr w:type="spellStart"/>
      <w:r w:rsidRPr="00B90180">
        <w:rPr>
          <w:rStyle w:val="Strong"/>
          <w:rFonts w:ascii="Cambria" w:hAnsi="Cambria" w:cstheme="minorHAnsi"/>
          <w:i/>
        </w:rPr>
        <w:t>European</w:t>
      </w:r>
      <w:proofErr w:type="spellEnd"/>
      <w:r w:rsidRPr="00B90180">
        <w:rPr>
          <w:rStyle w:val="Strong"/>
          <w:rFonts w:ascii="Cambria" w:hAnsi="Cambria" w:cstheme="minorHAnsi"/>
          <w:i/>
        </w:rPr>
        <w:t xml:space="preserve"> Union (OJ </w:t>
      </w:r>
      <w:r w:rsidRPr="00B90180">
        <w:rPr>
          <w:rFonts w:ascii="Cambria" w:hAnsi="Cambria" w:cstheme="minorHAnsi"/>
          <w:i/>
          <w:iCs/>
        </w:rPr>
        <w:t xml:space="preserve">L 349, 5.12.2014.)] </w:t>
      </w:r>
      <w:hyperlink r:id="rId17" w:history="1">
        <w:r w:rsidRPr="00B90180">
          <w:rPr>
            <w:rStyle w:val="Hyperlink"/>
            <w:rFonts w:ascii="Cambria" w:hAnsi="Cambria"/>
          </w:rPr>
          <w:t>https://eur-lex.europa.eu/legal-content/EN/TXT/PDF/?uri=CELEX:32014L0104&amp;from=EN</w:t>
        </w:r>
      </w:hyperlink>
      <w:r w:rsidRPr="00B90180">
        <w:rPr>
          <w:rFonts w:ascii="Cambria" w:hAnsi="Cambria"/>
        </w:rPr>
        <w:t xml:space="preserve"> </w:t>
      </w:r>
    </w:p>
  </w:footnote>
  <w:footnote w:id="21">
    <w:p w14:paraId="2C0AC2E5" w14:textId="77777777" w:rsidR="007F6086" w:rsidRPr="005B54DA" w:rsidRDefault="007F6086" w:rsidP="001622C0">
      <w:pPr>
        <w:pStyle w:val="FootnoteText"/>
        <w:rPr>
          <w:rFonts w:ascii="Cambria" w:hAnsi="Cambria"/>
          <w:lang w:val="de-CH"/>
        </w:rPr>
      </w:pPr>
      <w:r w:rsidRPr="00B90180">
        <w:rPr>
          <w:rStyle w:val="FootnoteReference"/>
          <w:rFonts w:ascii="Cambria" w:hAnsi="Cambria"/>
        </w:rPr>
        <w:footnoteRef/>
      </w:r>
      <w:r w:rsidRPr="00B90180">
        <w:rPr>
          <w:rFonts w:ascii="Cambria" w:hAnsi="Cambria"/>
        </w:rPr>
        <w:t xml:space="preserve"> ‘Fuqizimi i Autoriteteve Kombëtare të Konkurrencës’ </w:t>
      </w:r>
      <w:hyperlink r:id="rId18" w:history="1">
        <w:r w:rsidRPr="00B90180">
          <w:rPr>
            <w:rStyle w:val="Hyperlink"/>
            <w:rFonts w:ascii="Cambria" w:hAnsi="Cambria"/>
          </w:rPr>
          <w:t>http://ec.europa.eu/competition/antitrust/nca.html</w:t>
        </w:r>
      </w:hyperlink>
      <w:r w:rsidRPr="00B90180">
        <w:rPr>
          <w:rFonts w:ascii="Cambria" w:hAnsi="Cambria"/>
        </w:rPr>
        <w:t xml:space="preserve"> </w:t>
      </w:r>
    </w:p>
  </w:footnote>
  <w:footnote w:id="22">
    <w:p w14:paraId="33E39632" w14:textId="77777777" w:rsidR="007F6086" w:rsidRPr="00381DB3" w:rsidRDefault="007F6086" w:rsidP="00494035">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3">
    <w:p w14:paraId="3D05CF2F" w14:textId="77777777" w:rsidR="007F6086" w:rsidRPr="00381DB3" w:rsidRDefault="007F6086"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4">
    <w:p w14:paraId="22EA21CE" w14:textId="77777777" w:rsidR="007F6086" w:rsidRPr="00381DB3" w:rsidRDefault="007F6086"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25">
    <w:p w14:paraId="0B1FAC9D" w14:textId="77777777" w:rsidR="007F6086" w:rsidRPr="00BF3B80" w:rsidRDefault="007F6086" w:rsidP="007E1B0B">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26">
    <w:p w14:paraId="592DAF2B" w14:textId="77777777" w:rsidR="007F6086" w:rsidRPr="00350D3C" w:rsidRDefault="007F6086" w:rsidP="007E1B0B">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F3ED" w14:textId="77777777" w:rsidR="007F6086" w:rsidRDefault="007F6086">
    <w:pPr>
      <w:pStyle w:val="Header"/>
    </w:pPr>
    <w:r>
      <w:t xml:space="preserve">Koncept Dokumenti në fushën e Konkurrencës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0459"/>
    <w:multiLevelType w:val="hybridMultilevel"/>
    <w:tmpl w:val="70A02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6AC0"/>
    <w:multiLevelType w:val="hybridMultilevel"/>
    <w:tmpl w:val="231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B3B21"/>
    <w:multiLevelType w:val="hybridMultilevel"/>
    <w:tmpl w:val="C09802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C1543DB"/>
    <w:multiLevelType w:val="hybridMultilevel"/>
    <w:tmpl w:val="65FE3BDE"/>
    <w:lvl w:ilvl="0" w:tplc="3948FB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C6E88"/>
    <w:multiLevelType w:val="hybridMultilevel"/>
    <w:tmpl w:val="7736BEDA"/>
    <w:lvl w:ilvl="0" w:tplc="25349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8A0B38"/>
    <w:multiLevelType w:val="hybridMultilevel"/>
    <w:tmpl w:val="86E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115CE"/>
    <w:multiLevelType w:val="hybridMultilevel"/>
    <w:tmpl w:val="D02A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4F04F3"/>
    <w:multiLevelType w:val="hybridMultilevel"/>
    <w:tmpl w:val="0BF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7106C"/>
    <w:multiLevelType w:val="hybridMultilevel"/>
    <w:tmpl w:val="677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90C27"/>
    <w:multiLevelType w:val="hybridMultilevel"/>
    <w:tmpl w:val="876A5D86"/>
    <w:lvl w:ilvl="0" w:tplc="C8C8456A">
      <w:numFmt w:val="bullet"/>
      <w:lvlText w:val=""/>
      <w:lvlJc w:val="left"/>
      <w:pPr>
        <w:ind w:left="360" w:hanging="360"/>
      </w:pPr>
      <w:rPr>
        <w:rFonts w:ascii="Symbol" w:eastAsiaTheme="minorHAnsi" w:hAnsi="Symbol" w:cstheme="minorBid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nsid w:val="22931B6C"/>
    <w:multiLevelType w:val="hybridMultilevel"/>
    <w:tmpl w:val="817A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36853"/>
    <w:multiLevelType w:val="multilevel"/>
    <w:tmpl w:val="DD360DC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A2804E4"/>
    <w:multiLevelType w:val="hybridMultilevel"/>
    <w:tmpl w:val="AF4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A710F"/>
    <w:multiLevelType w:val="hybridMultilevel"/>
    <w:tmpl w:val="787CD068"/>
    <w:lvl w:ilvl="0" w:tplc="AF8C0232">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42713C"/>
    <w:multiLevelType w:val="hybridMultilevel"/>
    <w:tmpl w:val="C862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00C53"/>
    <w:multiLevelType w:val="hybridMultilevel"/>
    <w:tmpl w:val="060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3696A"/>
    <w:multiLevelType w:val="hybridMultilevel"/>
    <w:tmpl w:val="9A6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E7A03"/>
    <w:multiLevelType w:val="hybridMultilevel"/>
    <w:tmpl w:val="BF44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F252AF"/>
    <w:multiLevelType w:val="hybridMultilevel"/>
    <w:tmpl w:val="E70EAE0E"/>
    <w:lvl w:ilvl="0" w:tplc="2738D780">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167B1"/>
    <w:multiLevelType w:val="hybridMultilevel"/>
    <w:tmpl w:val="1C4622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739130C"/>
    <w:multiLevelType w:val="hybridMultilevel"/>
    <w:tmpl w:val="FE14F9DC"/>
    <w:lvl w:ilvl="0" w:tplc="1F4E353E">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F200E"/>
    <w:multiLevelType w:val="hybridMultilevel"/>
    <w:tmpl w:val="E85C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0B41F7"/>
    <w:multiLevelType w:val="hybridMultilevel"/>
    <w:tmpl w:val="B94AFF2E"/>
    <w:lvl w:ilvl="0" w:tplc="C9149DD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E1F3F45"/>
    <w:multiLevelType w:val="hybridMultilevel"/>
    <w:tmpl w:val="BC1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34AAA"/>
    <w:multiLevelType w:val="hybridMultilevel"/>
    <w:tmpl w:val="23BAE1A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nsid w:val="5B65079B"/>
    <w:multiLevelType w:val="hybridMultilevel"/>
    <w:tmpl w:val="9A648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A84D78"/>
    <w:multiLevelType w:val="hybridMultilevel"/>
    <w:tmpl w:val="9372FF1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1291DFF"/>
    <w:multiLevelType w:val="hybridMultilevel"/>
    <w:tmpl w:val="0B3A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7292A"/>
    <w:multiLevelType w:val="hybridMultilevel"/>
    <w:tmpl w:val="1276BD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65647C7"/>
    <w:multiLevelType w:val="hybridMultilevel"/>
    <w:tmpl w:val="B17A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A2EA6"/>
    <w:multiLevelType w:val="hybridMultilevel"/>
    <w:tmpl w:val="0C82319E"/>
    <w:lvl w:ilvl="0" w:tplc="06EA8232">
      <w:start w:val="1"/>
      <w:numFmt w:val="decimal"/>
      <w:lvlText w:val="%1."/>
      <w:lvlJc w:val="left"/>
      <w:pPr>
        <w:ind w:left="720" w:hanging="360"/>
      </w:pPr>
      <w:rPr>
        <w:rFonts w:asciiTheme="minorHAnsi" w:eastAsiaTheme="minorHAnsi" w:hAnsiTheme="minorHAnsi"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6C873F62"/>
    <w:multiLevelType w:val="hybridMultilevel"/>
    <w:tmpl w:val="BC0C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A0462"/>
    <w:multiLevelType w:val="multilevel"/>
    <w:tmpl w:val="8C8E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3E62B4"/>
    <w:multiLevelType w:val="multilevel"/>
    <w:tmpl w:val="1D98A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8A80EF9"/>
    <w:multiLevelType w:val="hybridMultilevel"/>
    <w:tmpl w:val="BF44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B54D47"/>
    <w:multiLevelType w:val="hybridMultilevel"/>
    <w:tmpl w:val="7138F516"/>
    <w:lvl w:ilvl="0" w:tplc="0409000F">
      <w:start w:val="1"/>
      <w:numFmt w:val="decimal"/>
      <w:lvlText w:val="%1."/>
      <w:lvlJc w:val="left"/>
      <w:pPr>
        <w:ind w:left="720" w:hanging="360"/>
      </w:pPr>
      <w:rPr>
        <w:rFonts w:hint="default"/>
      </w:rPr>
    </w:lvl>
    <w:lvl w:ilvl="1" w:tplc="E16A26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6"/>
  </w:num>
  <w:num w:numId="4">
    <w:abstractNumId w:val="36"/>
  </w:num>
  <w:num w:numId="5">
    <w:abstractNumId w:val="34"/>
  </w:num>
  <w:num w:numId="6">
    <w:abstractNumId w:val="1"/>
  </w:num>
  <w:num w:numId="7">
    <w:abstractNumId w:val="13"/>
  </w:num>
  <w:num w:numId="8">
    <w:abstractNumId w:val="24"/>
  </w:num>
  <w:num w:numId="9">
    <w:abstractNumId w:val="8"/>
  </w:num>
  <w:num w:numId="10">
    <w:abstractNumId w:val="10"/>
  </w:num>
  <w:num w:numId="11">
    <w:abstractNumId w:val="17"/>
  </w:num>
  <w:num w:numId="12">
    <w:abstractNumId w:val="12"/>
  </w:num>
  <w:num w:numId="13">
    <w:abstractNumId w:val="2"/>
  </w:num>
  <w:num w:numId="14">
    <w:abstractNumId w:val="7"/>
  </w:num>
  <w:num w:numId="15">
    <w:abstractNumId w:val="22"/>
  </w:num>
  <w:num w:numId="16">
    <w:abstractNumId w:val="33"/>
  </w:num>
  <w:num w:numId="17">
    <w:abstractNumId w:val="14"/>
  </w:num>
  <w:num w:numId="18">
    <w:abstractNumId w:val="32"/>
  </w:num>
  <w:num w:numId="19">
    <w:abstractNumId w:val="5"/>
  </w:num>
  <w:num w:numId="20">
    <w:abstractNumId w:val="30"/>
  </w:num>
  <w:num w:numId="21">
    <w:abstractNumId w:val="28"/>
  </w:num>
  <w:num w:numId="22">
    <w:abstractNumId w:val="18"/>
  </w:num>
  <w:num w:numId="23">
    <w:abstractNumId w:val="15"/>
  </w:num>
  <w:num w:numId="24">
    <w:abstractNumId w:val="35"/>
  </w:num>
  <w:num w:numId="25">
    <w:abstractNumId w:val="9"/>
  </w:num>
  <w:num w:numId="26">
    <w:abstractNumId w:val="16"/>
  </w:num>
  <w:num w:numId="27">
    <w:abstractNumId w:val="3"/>
  </w:num>
  <w:num w:numId="28">
    <w:abstractNumId w:val="23"/>
  </w:num>
  <w:num w:numId="29">
    <w:abstractNumId w:val="29"/>
  </w:num>
  <w:num w:numId="30">
    <w:abstractNumId w:val="31"/>
  </w:num>
  <w:num w:numId="31">
    <w:abstractNumId w:val="21"/>
  </w:num>
  <w:num w:numId="32">
    <w:abstractNumId w:val="19"/>
  </w:num>
  <w:num w:numId="33">
    <w:abstractNumId w:val="25"/>
  </w:num>
  <w:num w:numId="34">
    <w:abstractNumId w:val="27"/>
  </w:num>
  <w:num w:numId="35">
    <w:abstractNumId w:val="11"/>
  </w:num>
  <w:num w:numId="36">
    <w:abstractNumId w:val="4"/>
  </w:num>
  <w:num w:numId="3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smire Shabanhaxhaj">
    <w15:presenceInfo w15:providerId="AD" w15:userId="S-1-5-21-3379335039-1169082981-263449149-3378"/>
  </w15:person>
  <w15:person w15:author="AKaciu">
    <w15:presenceInfo w15:providerId="None" w15:userId="AKac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B"/>
    <w:rsid w:val="0000074C"/>
    <w:rsid w:val="00002E47"/>
    <w:rsid w:val="00003FD2"/>
    <w:rsid w:val="00010EFE"/>
    <w:rsid w:val="00011E0A"/>
    <w:rsid w:val="0001211C"/>
    <w:rsid w:val="00013A73"/>
    <w:rsid w:val="000148C1"/>
    <w:rsid w:val="000151AD"/>
    <w:rsid w:val="000153DE"/>
    <w:rsid w:val="0002541D"/>
    <w:rsid w:val="00025C62"/>
    <w:rsid w:val="000263A4"/>
    <w:rsid w:val="0003233B"/>
    <w:rsid w:val="000329FA"/>
    <w:rsid w:val="0004045F"/>
    <w:rsid w:val="00046F07"/>
    <w:rsid w:val="000519B2"/>
    <w:rsid w:val="00051DC1"/>
    <w:rsid w:val="00053A6B"/>
    <w:rsid w:val="00053F90"/>
    <w:rsid w:val="00063448"/>
    <w:rsid w:val="00065264"/>
    <w:rsid w:val="00070520"/>
    <w:rsid w:val="00071C60"/>
    <w:rsid w:val="000767F8"/>
    <w:rsid w:val="0008062E"/>
    <w:rsid w:val="00080D4D"/>
    <w:rsid w:val="000843CF"/>
    <w:rsid w:val="00085A5E"/>
    <w:rsid w:val="000871F6"/>
    <w:rsid w:val="00092BA1"/>
    <w:rsid w:val="000A0988"/>
    <w:rsid w:val="000A4228"/>
    <w:rsid w:val="000A655E"/>
    <w:rsid w:val="000B0C8E"/>
    <w:rsid w:val="000B149F"/>
    <w:rsid w:val="000B1DCA"/>
    <w:rsid w:val="000C25D9"/>
    <w:rsid w:val="000C2762"/>
    <w:rsid w:val="000C3740"/>
    <w:rsid w:val="000C6536"/>
    <w:rsid w:val="000C6DC1"/>
    <w:rsid w:val="000D1308"/>
    <w:rsid w:val="000D1FEA"/>
    <w:rsid w:val="000D3717"/>
    <w:rsid w:val="000D3726"/>
    <w:rsid w:val="000E249E"/>
    <w:rsid w:val="000F1910"/>
    <w:rsid w:val="000F3678"/>
    <w:rsid w:val="000F4211"/>
    <w:rsid w:val="000F7D17"/>
    <w:rsid w:val="001025C9"/>
    <w:rsid w:val="001028BD"/>
    <w:rsid w:val="001111A3"/>
    <w:rsid w:val="001124A9"/>
    <w:rsid w:val="00112E58"/>
    <w:rsid w:val="001144E5"/>
    <w:rsid w:val="00117147"/>
    <w:rsid w:val="00121004"/>
    <w:rsid w:val="001217BA"/>
    <w:rsid w:val="00123E34"/>
    <w:rsid w:val="0012503D"/>
    <w:rsid w:val="0012529C"/>
    <w:rsid w:val="00125905"/>
    <w:rsid w:val="0013265F"/>
    <w:rsid w:val="00133088"/>
    <w:rsid w:val="00133511"/>
    <w:rsid w:val="00145673"/>
    <w:rsid w:val="00154293"/>
    <w:rsid w:val="00155349"/>
    <w:rsid w:val="001571AA"/>
    <w:rsid w:val="001622C0"/>
    <w:rsid w:val="00162D8C"/>
    <w:rsid w:val="00166EB4"/>
    <w:rsid w:val="00173A97"/>
    <w:rsid w:val="0017454F"/>
    <w:rsid w:val="00176499"/>
    <w:rsid w:val="001768A5"/>
    <w:rsid w:val="00180BB0"/>
    <w:rsid w:val="00184392"/>
    <w:rsid w:val="001869E9"/>
    <w:rsid w:val="00187C11"/>
    <w:rsid w:val="001907D7"/>
    <w:rsid w:val="0019201A"/>
    <w:rsid w:val="001A506E"/>
    <w:rsid w:val="001A5688"/>
    <w:rsid w:val="001A7D6D"/>
    <w:rsid w:val="001B2AE8"/>
    <w:rsid w:val="001C1383"/>
    <w:rsid w:val="001C22EB"/>
    <w:rsid w:val="001C3D88"/>
    <w:rsid w:val="001C7171"/>
    <w:rsid w:val="001D4348"/>
    <w:rsid w:val="001D7987"/>
    <w:rsid w:val="001E0943"/>
    <w:rsid w:val="001E3DB1"/>
    <w:rsid w:val="001E610B"/>
    <w:rsid w:val="001E612D"/>
    <w:rsid w:val="001E6E98"/>
    <w:rsid w:val="001F536A"/>
    <w:rsid w:val="001F57E0"/>
    <w:rsid w:val="00201569"/>
    <w:rsid w:val="00202656"/>
    <w:rsid w:val="00204A34"/>
    <w:rsid w:val="002072D2"/>
    <w:rsid w:val="00213765"/>
    <w:rsid w:val="00216513"/>
    <w:rsid w:val="0021742B"/>
    <w:rsid w:val="0022461E"/>
    <w:rsid w:val="00232108"/>
    <w:rsid w:val="002424F3"/>
    <w:rsid w:val="0024523A"/>
    <w:rsid w:val="00246F40"/>
    <w:rsid w:val="00253BC3"/>
    <w:rsid w:val="002553E5"/>
    <w:rsid w:val="00255DA0"/>
    <w:rsid w:val="00261614"/>
    <w:rsid w:val="00263922"/>
    <w:rsid w:val="00265AA7"/>
    <w:rsid w:val="00265F99"/>
    <w:rsid w:val="00266995"/>
    <w:rsid w:val="0026744D"/>
    <w:rsid w:val="00270F79"/>
    <w:rsid w:val="00272062"/>
    <w:rsid w:val="002728B4"/>
    <w:rsid w:val="002771C4"/>
    <w:rsid w:val="0029067D"/>
    <w:rsid w:val="002915BF"/>
    <w:rsid w:val="00293B21"/>
    <w:rsid w:val="00297CA2"/>
    <w:rsid w:val="002A0887"/>
    <w:rsid w:val="002A3285"/>
    <w:rsid w:val="002A62D4"/>
    <w:rsid w:val="002A6AC0"/>
    <w:rsid w:val="002C45B7"/>
    <w:rsid w:val="002D17EC"/>
    <w:rsid w:val="002D58A3"/>
    <w:rsid w:val="002E1C11"/>
    <w:rsid w:val="002E4003"/>
    <w:rsid w:val="002F2228"/>
    <w:rsid w:val="002F22E0"/>
    <w:rsid w:val="002F3D76"/>
    <w:rsid w:val="0030194A"/>
    <w:rsid w:val="00310169"/>
    <w:rsid w:val="003161BB"/>
    <w:rsid w:val="00316D1C"/>
    <w:rsid w:val="003206E0"/>
    <w:rsid w:val="0032167D"/>
    <w:rsid w:val="00323D47"/>
    <w:rsid w:val="0032483A"/>
    <w:rsid w:val="003322BC"/>
    <w:rsid w:val="00332444"/>
    <w:rsid w:val="00332E80"/>
    <w:rsid w:val="00336118"/>
    <w:rsid w:val="00341D3A"/>
    <w:rsid w:val="00345C41"/>
    <w:rsid w:val="0035622E"/>
    <w:rsid w:val="00357279"/>
    <w:rsid w:val="00357389"/>
    <w:rsid w:val="003645D0"/>
    <w:rsid w:val="003674D7"/>
    <w:rsid w:val="00370505"/>
    <w:rsid w:val="00375B0F"/>
    <w:rsid w:val="00375C0A"/>
    <w:rsid w:val="00384463"/>
    <w:rsid w:val="003959D5"/>
    <w:rsid w:val="003A3948"/>
    <w:rsid w:val="003A44AC"/>
    <w:rsid w:val="003A6416"/>
    <w:rsid w:val="003A7470"/>
    <w:rsid w:val="003B1511"/>
    <w:rsid w:val="003B22FB"/>
    <w:rsid w:val="003B480D"/>
    <w:rsid w:val="003C0FF0"/>
    <w:rsid w:val="003C4331"/>
    <w:rsid w:val="003C624A"/>
    <w:rsid w:val="003D0308"/>
    <w:rsid w:val="003D1043"/>
    <w:rsid w:val="003D12A4"/>
    <w:rsid w:val="003D134D"/>
    <w:rsid w:val="003D2AF3"/>
    <w:rsid w:val="003D61AC"/>
    <w:rsid w:val="003E1152"/>
    <w:rsid w:val="003E138C"/>
    <w:rsid w:val="003E1B87"/>
    <w:rsid w:val="003E2C4C"/>
    <w:rsid w:val="003E43EE"/>
    <w:rsid w:val="003F125F"/>
    <w:rsid w:val="003F554B"/>
    <w:rsid w:val="00400054"/>
    <w:rsid w:val="004045E7"/>
    <w:rsid w:val="004048F5"/>
    <w:rsid w:val="00405BC8"/>
    <w:rsid w:val="0041068B"/>
    <w:rsid w:val="00417AFF"/>
    <w:rsid w:val="00420951"/>
    <w:rsid w:val="00420B0D"/>
    <w:rsid w:val="004223CE"/>
    <w:rsid w:val="00422DC6"/>
    <w:rsid w:val="00436CD8"/>
    <w:rsid w:val="00436FFB"/>
    <w:rsid w:val="00440A4F"/>
    <w:rsid w:val="00441F5A"/>
    <w:rsid w:val="0045074B"/>
    <w:rsid w:val="00454FF4"/>
    <w:rsid w:val="0046228F"/>
    <w:rsid w:val="00464A72"/>
    <w:rsid w:val="00467CA4"/>
    <w:rsid w:val="004742BF"/>
    <w:rsid w:val="004745BD"/>
    <w:rsid w:val="004775E7"/>
    <w:rsid w:val="00477702"/>
    <w:rsid w:val="0048257F"/>
    <w:rsid w:val="004840AD"/>
    <w:rsid w:val="004902C3"/>
    <w:rsid w:val="0049054B"/>
    <w:rsid w:val="00494035"/>
    <w:rsid w:val="00495DBF"/>
    <w:rsid w:val="004976EC"/>
    <w:rsid w:val="004A29AA"/>
    <w:rsid w:val="004A4335"/>
    <w:rsid w:val="004A693C"/>
    <w:rsid w:val="004A738C"/>
    <w:rsid w:val="004D06C0"/>
    <w:rsid w:val="004D51CB"/>
    <w:rsid w:val="004D550B"/>
    <w:rsid w:val="004D5AB2"/>
    <w:rsid w:val="004D6215"/>
    <w:rsid w:val="004E3BF2"/>
    <w:rsid w:val="004E4548"/>
    <w:rsid w:val="004E504E"/>
    <w:rsid w:val="004E6E7B"/>
    <w:rsid w:val="004E7BE9"/>
    <w:rsid w:val="004F03F5"/>
    <w:rsid w:val="004F114E"/>
    <w:rsid w:val="004F691C"/>
    <w:rsid w:val="0050041F"/>
    <w:rsid w:val="00501ECC"/>
    <w:rsid w:val="005050D1"/>
    <w:rsid w:val="005054BC"/>
    <w:rsid w:val="00511BD4"/>
    <w:rsid w:val="00511DD8"/>
    <w:rsid w:val="005154E6"/>
    <w:rsid w:val="00522105"/>
    <w:rsid w:val="00522F42"/>
    <w:rsid w:val="00525572"/>
    <w:rsid w:val="0052631B"/>
    <w:rsid w:val="00527A92"/>
    <w:rsid w:val="0053025A"/>
    <w:rsid w:val="00531D7E"/>
    <w:rsid w:val="00535039"/>
    <w:rsid w:val="0054085F"/>
    <w:rsid w:val="005412E3"/>
    <w:rsid w:val="00541488"/>
    <w:rsid w:val="00546D83"/>
    <w:rsid w:val="005509C4"/>
    <w:rsid w:val="00555A1C"/>
    <w:rsid w:val="0055654C"/>
    <w:rsid w:val="00562751"/>
    <w:rsid w:val="00565100"/>
    <w:rsid w:val="00572333"/>
    <w:rsid w:val="00573264"/>
    <w:rsid w:val="005754E2"/>
    <w:rsid w:val="005808A0"/>
    <w:rsid w:val="00580983"/>
    <w:rsid w:val="00584818"/>
    <w:rsid w:val="00587EDF"/>
    <w:rsid w:val="0059019D"/>
    <w:rsid w:val="005949DF"/>
    <w:rsid w:val="00595960"/>
    <w:rsid w:val="005A0B47"/>
    <w:rsid w:val="005A111D"/>
    <w:rsid w:val="005A30C9"/>
    <w:rsid w:val="005A4320"/>
    <w:rsid w:val="005B099D"/>
    <w:rsid w:val="005B5408"/>
    <w:rsid w:val="005B54DA"/>
    <w:rsid w:val="005B6151"/>
    <w:rsid w:val="005C44E6"/>
    <w:rsid w:val="005C65EC"/>
    <w:rsid w:val="005D0CB8"/>
    <w:rsid w:val="005D592D"/>
    <w:rsid w:val="005D63B3"/>
    <w:rsid w:val="005D72ED"/>
    <w:rsid w:val="005E2435"/>
    <w:rsid w:val="005E49AC"/>
    <w:rsid w:val="005E4F93"/>
    <w:rsid w:val="005F08B6"/>
    <w:rsid w:val="005F15A5"/>
    <w:rsid w:val="005F1C8E"/>
    <w:rsid w:val="005F230E"/>
    <w:rsid w:val="006004FB"/>
    <w:rsid w:val="00604B62"/>
    <w:rsid w:val="00605FED"/>
    <w:rsid w:val="0061035C"/>
    <w:rsid w:val="00615161"/>
    <w:rsid w:val="00622A7F"/>
    <w:rsid w:val="006232D1"/>
    <w:rsid w:val="00623843"/>
    <w:rsid w:val="00623D59"/>
    <w:rsid w:val="006246AD"/>
    <w:rsid w:val="00635704"/>
    <w:rsid w:val="00636D91"/>
    <w:rsid w:val="0064305F"/>
    <w:rsid w:val="006442C6"/>
    <w:rsid w:val="0064622A"/>
    <w:rsid w:val="0065255B"/>
    <w:rsid w:val="00673690"/>
    <w:rsid w:val="00674773"/>
    <w:rsid w:val="00674E05"/>
    <w:rsid w:val="0067613A"/>
    <w:rsid w:val="0068309A"/>
    <w:rsid w:val="00683C55"/>
    <w:rsid w:val="00686E41"/>
    <w:rsid w:val="00695548"/>
    <w:rsid w:val="00695808"/>
    <w:rsid w:val="006A2DDB"/>
    <w:rsid w:val="006A6A3B"/>
    <w:rsid w:val="006A6B66"/>
    <w:rsid w:val="006B4B8D"/>
    <w:rsid w:val="006B5B0F"/>
    <w:rsid w:val="006B7F78"/>
    <w:rsid w:val="006C1D69"/>
    <w:rsid w:val="006C3B4B"/>
    <w:rsid w:val="006C5C64"/>
    <w:rsid w:val="006C77C0"/>
    <w:rsid w:val="006D0435"/>
    <w:rsid w:val="006D4126"/>
    <w:rsid w:val="006D4F74"/>
    <w:rsid w:val="006E16F7"/>
    <w:rsid w:val="006E1F04"/>
    <w:rsid w:val="006E2019"/>
    <w:rsid w:val="006E3E48"/>
    <w:rsid w:val="006E701B"/>
    <w:rsid w:val="006E79E5"/>
    <w:rsid w:val="006E7CD4"/>
    <w:rsid w:val="006F11C5"/>
    <w:rsid w:val="006F3089"/>
    <w:rsid w:val="00701CBB"/>
    <w:rsid w:val="00702954"/>
    <w:rsid w:val="00702BD0"/>
    <w:rsid w:val="007043E3"/>
    <w:rsid w:val="0070543E"/>
    <w:rsid w:val="007075AC"/>
    <w:rsid w:val="007119CE"/>
    <w:rsid w:val="007136E0"/>
    <w:rsid w:val="00714C04"/>
    <w:rsid w:val="00715002"/>
    <w:rsid w:val="0071506C"/>
    <w:rsid w:val="00717294"/>
    <w:rsid w:val="0072211E"/>
    <w:rsid w:val="00730CA6"/>
    <w:rsid w:val="007312B9"/>
    <w:rsid w:val="00733E4D"/>
    <w:rsid w:val="0074400C"/>
    <w:rsid w:val="00747B49"/>
    <w:rsid w:val="0075339D"/>
    <w:rsid w:val="007602F2"/>
    <w:rsid w:val="00760738"/>
    <w:rsid w:val="007624D8"/>
    <w:rsid w:val="00770129"/>
    <w:rsid w:val="0077080C"/>
    <w:rsid w:val="00772C2B"/>
    <w:rsid w:val="007755F8"/>
    <w:rsid w:val="007760F6"/>
    <w:rsid w:val="00777194"/>
    <w:rsid w:val="00782D46"/>
    <w:rsid w:val="0079278C"/>
    <w:rsid w:val="007964A5"/>
    <w:rsid w:val="00797F2B"/>
    <w:rsid w:val="007A22F0"/>
    <w:rsid w:val="007A4DF6"/>
    <w:rsid w:val="007A73EC"/>
    <w:rsid w:val="007B0E20"/>
    <w:rsid w:val="007B3E00"/>
    <w:rsid w:val="007B53FE"/>
    <w:rsid w:val="007C1E78"/>
    <w:rsid w:val="007C36E5"/>
    <w:rsid w:val="007C43E3"/>
    <w:rsid w:val="007D0823"/>
    <w:rsid w:val="007D2CB6"/>
    <w:rsid w:val="007D5BC5"/>
    <w:rsid w:val="007D64D4"/>
    <w:rsid w:val="007E1290"/>
    <w:rsid w:val="007E189D"/>
    <w:rsid w:val="007E1B0B"/>
    <w:rsid w:val="007E5609"/>
    <w:rsid w:val="007E56A6"/>
    <w:rsid w:val="007E669F"/>
    <w:rsid w:val="007F1EDE"/>
    <w:rsid w:val="007F3D7F"/>
    <w:rsid w:val="007F43CB"/>
    <w:rsid w:val="007F6086"/>
    <w:rsid w:val="007F6DED"/>
    <w:rsid w:val="007F7681"/>
    <w:rsid w:val="008003FB"/>
    <w:rsid w:val="0080324C"/>
    <w:rsid w:val="00805DEB"/>
    <w:rsid w:val="00806A74"/>
    <w:rsid w:val="00816775"/>
    <w:rsid w:val="00816943"/>
    <w:rsid w:val="00817018"/>
    <w:rsid w:val="00827A96"/>
    <w:rsid w:val="00831708"/>
    <w:rsid w:val="0083432B"/>
    <w:rsid w:val="00835D2A"/>
    <w:rsid w:val="00837DF6"/>
    <w:rsid w:val="008420CE"/>
    <w:rsid w:val="00845FBB"/>
    <w:rsid w:val="00850090"/>
    <w:rsid w:val="00850ABA"/>
    <w:rsid w:val="00853321"/>
    <w:rsid w:val="00856C25"/>
    <w:rsid w:val="00860C51"/>
    <w:rsid w:val="0086590D"/>
    <w:rsid w:val="00870176"/>
    <w:rsid w:val="008709C2"/>
    <w:rsid w:val="00872256"/>
    <w:rsid w:val="008726FE"/>
    <w:rsid w:val="008753CB"/>
    <w:rsid w:val="0088248B"/>
    <w:rsid w:val="00882CF9"/>
    <w:rsid w:val="0088592D"/>
    <w:rsid w:val="00890B4B"/>
    <w:rsid w:val="008A5D44"/>
    <w:rsid w:val="008A6E0F"/>
    <w:rsid w:val="008A76D9"/>
    <w:rsid w:val="008A798D"/>
    <w:rsid w:val="008B0AF8"/>
    <w:rsid w:val="008B27D7"/>
    <w:rsid w:val="008B3B4A"/>
    <w:rsid w:val="008B6EDC"/>
    <w:rsid w:val="008B6FDB"/>
    <w:rsid w:val="008B7FD7"/>
    <w:rsid w:val="008C0B35"/>
    <w:rsid w:val="008C0BE2"/>
    <w:rsid w:val="008C1D88"/>
    <w:rsid w:val="008C22A0"/>
    <w:rsid w:val="008C2A45"/>
    <w:rsid w:val="008C32AD"/>
    <w:rsid w:val="008C4BB5"/>
    <w:rsid w:val="008C5023"/>
    <w:rsid w:val="008C549E"/>
    <w:rsid w:val="008C6811"/>
    <w:rsid w:val="008C7F7F"/>
    <w:rsid w:val="008D0571"/>
    <w:rsid w:val="008D17FC"/>
    <w:rsid w:val="008D7069"/>
    <w:rsid w:val="008E0703"/>
    <w:rsid w:val="008E2877"/>
    <w:rsid w:val="008E599F"/>
    <w:rsid w:val="008E6381"/>
    <w:rsid w:val="008E6672"/>
    <w:rsid w:val="008F4670"/>
    <w:rsid w:val="008F76ED"/>
    <w:rsid w:val="009015B2"/>
    <w:rsid w:val="009029FE"/>
    <w:rsid w:val="00904A36"/>
    <w:rsid w:val="00907663"/>
    <w:rsid w:val="00912FB6"/>
    <w:rsid w:val="00913598"/>
    <w:rsid w:val="00915A1C"/>
    <w:rsid w:val="00915E7B"/>
    <w:rsid w:val="009248E0"/>
    <w:rsid w:val="00930349"/>
    <w:rsid w:val="00931AA1"/>
    <w:rsid w:val="00936DEB"/>
    <w:rsid w:val="00937A2C"/>
    <w:rsid w:val="00942D7C"/>
    <w:rsid w:val="009433C6"/>
    <w:rsid w:val="0094410D"/>
    <w:rsid w:val="00945423"/>
    <w:rsid w:val="009459E7"/>
    <w:rsid w:val="00952293"/>
    <w:rsid w:val="0095778A"/>
    <w:rsid w:val="009579D8"/>
    <w:rsid w:val="00961283"/>
    <w:rsid w:val="009656EC"/>
    <w:rsid w:val="009661FE"/>
    <w:rsid w:val="00971F86"/>
    <w:rsid w:val="00973E02"/>
    <w:rsid w:val="00973E9E"/>
    <w:rsid w:val="0097586A"/>
    <w:rsid w:val="00975E29"/>
    <w:rsid w:val="009775AA"/>
    <w:rsid w:val="00982FE5"/>
    <w:rsid w:val="0098456D"/>
    <w:rsid w:val="00986615"/>
    <w:rsid w:val="00990BC6"/>
    <w:rsid w:val="0099131C"/>
    <w:rsid w:val="00992E4A"/>
    <w:rsid w:val="00997AD5"/>
    <w:rsid w:val="009A035C"/>
    <w:rsid w:val="009A04F9"/>
    <w:rsid w:val="009A090B"/>
    <w:rsid w:val="009A19F9"/>
    <w:rsid w:val="009A5D66"/>
    <w:rsid w:val="009B0878"/>
    <w:rsid w:val="009B1593"/>
    <w:rsid w:val="009B343C"/>
    <w:rsid w:val="009B3507"/>
    <w:rsid w:val="009B4686"/>
    <w:rsid w:val="009C03F6"/>
    <w:rsid w:val="009C04A3"/>
    <w:rsid w:val="009C432A"/>
    <w:rsid w:val="009C6E79"/>
    <w:rsid w:val="009C77F2"/>
    <w:rsid w:val="009D2D41"/>
    <w:rsid w:val="009D7B50"/>
    <w:rsid w:val="009E1A07"/>
    <w:rsid w:val="009E7B80"/>
    <w:rsid w:val="009F4F40"/>
    <w:rsid w:val="009F6641"/>
    <w:rsid w:val="009F70BE"/>
    <w:rsid w:val="00A03FC2"/>
    <w:rsid w:val="00A04B19"/>
    <w:rsid w:val="00A10879"/>
    <w:rsid w:val="00A15577"/>
    <w:rsid w:val="00A1671A"/>
    <w:rsid w:val="00A174E6"/>
    <w:rsid w:val="00A208DB"/>
    <w:rsid w:val="00A22B1A"/>
    <w:rsid w:val="00A232AD"/>
    <w:rsid w:val="00A27A3C"/>
    <w:rsid w:val="00A320DF"/>
    <w:rsid w:val="00A33A00"/>
    <w:rsid w:val="00A359A3"/>
    <w:rsid w:val="00A37483"/>
    <w:rsid w:val="00A428C9"/>
    <w:rsid w:val="00A42903"/>
    <w:rsid w:val="00A46D67"/>
    <w:rsid w:val="00A477AE"/>
    <w:rsid w:val="00A503C5"/>
    <w:rsid w:val="00A54508"/>
    <w:rsid w:val="00A5492F"/>
    <w:rsid w:val="00A56573"/>
    <w:rsid w:val="00A57E4C"/>
    <w:rsid w:val="00A60317"/>
    <w:rsid w:val="00A61465"/>
    <w:rsid w:val="00A61B6E"/>
    <w:rsid w:val="00A66ABC"/>
    <w:rsid w:val="00A7233D"/>
    <w:rsid w:val="00A75A0B"/>
    <w:rsid w:val="00A823D3"/>
    <w:rsid w:val="00A83C55"/>
    <w:rsid w:val="00A871D5"/>
    <w:rsid w:val="00A87E7F"/>
    <w:rsid w:val="00A95EA2"/>
    <w:rsid w:val="00AA1ECC"/>
    <w:rsid w:val="00AB02A7"/>
    <w:rsid w:val="00AB3A26"/>
    <w:rsid w:val="00AB4281"/>
    <w:rsid w:val="00AB5698"/>
    <w:rsid w:val="00AC094B"/>
    <w:rsid w:val="00AC0E3B"/>
    <w:rsid w:val="00AC2A4D"/>
    <w:rsid w:val="00AC4200"/>
    <w:rsid w:val="00AC5E53"/>
    <w:rsid w:val="00AD00CD"/>
    <w:rsid w:val="00AD00F1"/>
    <w:rsid w:val="00AD2245"/>
    <w:rsid w:val="00AD31F3"/>
    <w:rsid w:val="00AD4B54"/>
    <w:rsid w:val="00AE42D3"/>
    <w:rsid w:val="00AE54FA"/>
    <w:rsid w:val="00AE5FC2"/>
    <w:rsid w:val="00AE6725"/>
    <w:rsid w:val="00AF5274"/>
    <w:rsid w:val="00B1424D"/>
    <w:rsid w:val="00B15C8D"/>
    <w:rsid w:val="00B22DB1"/>
    <w:rsid w:val="00B3100E"/>
    <w:rsid w:val="00B31954"/>
    <w:rsid w:val="00B366A4"/>
    <w:rsid w:val="00B3684C"/>
    <w:rsid w:val="00B378CB"/>
    <w:rsid w:val="00B37952"/>
    <w:rsid w:val="00B404A3"/>
    <w:rsid w:val="00B417E9"/>
    <w:rsid w:val="00B4591C"/>
    <w:rsid w:val="00B46EE4"/>
    <w:rsid w:val="00B50677"/>
    <w:rsid w:val="00B51DFC"/>
    <w:rsid w:val="00B5459A"/>
    <w:rsid w:val="00B54DD3"/>
    <w:rsid w:val="00B554D8"/>
    <w:rsid w:val="00B55746"/>
    <w:rsid w:val="00B55FED"/>
    <w:rsid w:val="00B60DA7"/>
    <w:rsid w:val="00B610D8"/>
    <w:rsid w:val="00B6132A"/>
    <w:rsid w:val="00B63894"/>
    <w:rsid w:val="00B760C4"/>
    <w:rsid w:val="00B811F4"/>
    <w:rsid w:val="00B825AB"/>
    <w:rsid w:val="00B85BC2"/>
    <w:rsid w:val="00B87EA1"/>
    <w:rsid w:val="00B90070"/>
    <w:rsid w:val="00B9124A"/>
    <w:rsid w:val="00B9269F"/>
    <w:rsid w:val="00B96301"/>
    <w:rsid w:val="00B97640"/>
    <w:rsid w:val="00BA1532"/>
    <w:rsid w:val="00BA20AF"/>
    <w:rsid w:val="00BA7280"/>
    <w:rsid w:val="00BB099D"/>
    <w:rsid w:val="00BB18A5"/>
    <w:rsid w:val="00BB2D6C"/>
    <w:rsid w:val="00BB3C6A"/>
    <w:rsid w:val="00BB4EA3"/>
    <w:rsid w:val="00BB5A1E"/>
    <w:rsid w:val="00BB62D5"/>
    <w:rsid w:val="00BB6317"/>
    <w:rsid w:val="00BB6FE5"/>
    <w:rsid w:val="00BB7593"/>
    <w:rsid w:val="00BC2FED"/>
    <w:rsid w:val="00BC7316"/>
    <w:rsid w:val="00BC7DA4"/>
    <w:rsid w:val="00BD1047"/>
    <w:rsid w:val="00BD1624"/>
    <w:rsid w:val="00BD69A7"/>
    <w:rsid w:val="00BE232A"/>
    <w:rsid w:val="00BE25F7"/>
    <w:rsid w:val="00BE28DE"/>
    <w:rsid w:val="00BE7F69"/>
    <w:rsid w:val="00BF006C"/>
    <w:rsid w:val="00BF051B"/>
    <w:rsid w:val="00BF3277"/>
    <w:rsid w:val="00BF7D20"/>
    <w:rsid w:val="00C0306A"/>
    <w:rsid w:val="00C03204"/>
    <w:rsid w:val="00C04536"/>
    <w:rsid w:val="00C04C03"/>
    <w:rsid w:val="00C10934"/>
    <w:rsid w:val="00C11655"/>
    <w:rsid w:val="00C12F9F"/>
    <w:rsid w:val="00C13D3C"/>
    <w:rsid w:val="00C14D08"/>
    <w:rsid w:val="00C161D9"/>
    <w:rsid w:val="00C17987"/>
    <w:rsid w:val="00C17F8E"/>
    <w:rsid w:val="00C214C5"/>
    <w:rsid w:val="00C23A93"/>
    <w:rsid w:val="00C23F56"/>
    <w:rsid w:val="00C30F61"/>
    <w:rsid w:val="00C3161C"/>
    <w:rsid w:val="00C31F20"/>
    <w:rsid w:val="00C325AA"/>
    <w:rsid w:val="00C32BF8"/>
    <w:rsid w:val="00C34ED7"/>
    <w:rsid w:val="00C422F0"/>
    <w:rsid w:val="00C42BF2"/>
    <w:rsid w:val="00C460FA"/>
    <w:rsid w:val="00C51097"/>
    <w:rsid w:val="00C512FC"/>
    <w:rsid w:val="00C61042"/>
    <w:rsid w:val="00C6312C"/>
    <w:rsid w:val="00C6377B"/>
    <w:rsid w:val="00C654B3"/>
    <w:rsid w:val="00C66B3A"/>
    <w:rsid w:val="00C705E9"/>
    <w:rsid w:val="00C756B3"/>
    <w:rsid w:val="00C8775B"/>
    <w:rsid w:val="00C9007A"/>
    <w:rsid w:val="00C966E4"/>
    <w:rsid w:val="00CA1A10"/>
    <w:rsid w:val="00CA3BF1"/>
    <w:rsid w:val="00CB0459"/>
    <w:rsid w:val="00CB0DCF"/>
    <w:rsid w:val="00CB1E7D"/>
    <w:rsid w:val="00CB555C"/>
    <w:rsid w:val="00CB587A"/>
    <w:rsid w:val="00CB6AF1"/>
    <w:rsid w:val="00CC074D"/>
    <w:rsid w:val="00CC0B95"/>
    <w:rsid w:val="00CC36BE"/>
    <w:rsid w:val="00CC6CD3"/>
    <w:rsid w:val="00CC77E9"/>
    <w:rsid w:val="00CD3B6D"/>
    <w:rsid w:val="00CD646C"/>
    <w:rsid w:val="00CD6A65"/>
    <w:rsid w:val="00CE6119"/>
    <w:rsid w:val="00CE708E"/>
    <w:rsid w:val="00CF1AF6"/>
    <w:rsid w:val="00CF5277"/>
    <w:rsid w:val="00CF75F3"/>
    <w:rsid w:val="00CF7C0A"/>
    <w:rsid w:val="00D0043E"/>
    <w:rsid w:val="00D0483F"/>
    <w:rsid w:val="00D06E5A"/>
    <w:rsid w:val="00D22DB8"/>
    <w:rsid w:val="00D2733C"/>
    <w:rsid w:val="00D30A45"/>
    <w:rsid w:val="00D30B10"/>
    <w:rsid w:val="00D34C39"/>
    <w:rsid w:val="00D40F10"/>
    <w:rsid w:val="00D416DF"/>
    <w:rsid w:val="00D4488A"/>
    <w:rsid w:val="00D448A6"/>
    <w:rsid w:val="00D450A0"/>
    <w:rsid w:val="00D506EC"/>
    <w:rsid w:val="00D60878"/>
    <w:rsid w:val="00D73955"/>
    <w:rsid w:val="00D75A58"/>
    <w:rsid w:val="00D762F8"/>
    <w:rsid w:val="00D76F30"/>
    <w:rsid w:val="00D7786F"/>
    <w:rsid w:val="00D85DEE"/>
    <w:rsid w:val="00D87969"/>
    <w:rsid w:val="00D95EAC"/>
    <w:rsid w:val="00D9713A"/>
    <w:rsid w:val="00D97DB4"/>
    <w:rsid w:val="00DA1EA1"/>
    <w:rsid w:val="00DA1F2F"/>
    <w:rsid w:val="00DA57D9"/>
    <w:rsid w:val="00DB1682"/>
    <w:rsid w:val="00DC0706"/>
    <w:rsid w:val="00DC2051"/>
    <w:rsid w:val="00DC2856"/>
    <w:rsid w:val="00DC6579"/>
    <w:rsid w:val="00DD66FB"/>
    <w:rsid w:val="00DE20BB"/>
    <w:rsid w:val="00DE300F"/>
    <w:rsid w:val="00DE3B44"/>
    <w:rsid w:val="00DE67FA"/>
    <w:rsid w:val="00DE78FF"/>
    <w:rsid w:val="00DF1651"/>
    <w:rsid w:val="00DF2517"/>
    <w:rsid w:val="00DF2ADB"/>
    <w:rsid w:val="00E01D85"/>
    <w:rsid w:val="00E104EF"/>
    <w:rsid w:val="00E11640"/>
    <w:rsid w:val="00E13795"/>
    <w:rsid w:val="00E16C11"/>
    <w:rsid w:val="00E30FBC"/>
    <w:rsid w:val="00E31C3E"/>
    <w:rsid w:val="00E32856"/>
    <w:rsid w:val="00E32968"/>
    <w:rsid w:val="00E33C4C"/>
    <w:rsid w:val="00E34F97"/>
    <w:rsid w:val="00E35AB2"/>
    <w:rsid w:val="00E37440"/>
    <w:rsid w:val="00E408AD"/>
    <w:rsid w:val="00E43229"/>
    <w:rsid w:val="00E56413"/>
    <w:rsid w:val="00E56588"/>
    <w:rsid w:val="00E649C8"/>
    <w:rsid w:val="00E76CB3"/>
    <w:rsid w:val="00E86C9C"/>
    <w:rsid w:val="00E9027C"/>
    <w:rsid w:val="00EB370A"/>
    <w:rsid w:val="00EB4471"/>
    <w:rsid w:val="00EB4F25"/>
    <w:rsid w:val="00EB5862"/>
    <w:rsid w:val="00EB68E7"/>
    <w:rsid w:val="00EC1F74"/>
    <w:rsid w:val="00EC3663"/>
    <w:rsid w:val="00EC6094"/>
    <w:rsid w:val="00EC61A2"/>
    <w:rsid w:val="00EC67F8"/>
    <w:rsid w:val="00EC79AB"/>
    <w:rsid w:val="00ED194C"/>
    <w:rsid w:val="00ED1CFE"/>
    <w:rsid w:val="00ED2DA2"/>
    <w:rsid w:val="00ED78EF"/>
    <w:rsid w:val="00EE2866"/>
    <w:rsid w:val="00EE4E9E"/>
    <w:rsid w:val="00EF3D1F"/>
    <w:rsid w:val="00EF7AF9"/>
    <w:rsid w:val="00F03AC3"/>
    <w:rsid w:val="00F04F38"/>
    <w:rsid w:val="00F125BD"/>
    <w:rsid w:val="00F125FE"/>
    <w:rsid w:val="00F1356F"/>
    <w:rsid w:val="00F2305E"/>
    <w:rsid w:val="00F23BDC"/>
    <w:rsid w:val="00F23DBF"/>
    <w:rsid w:val="00F3019F"/>
    <w:rsid w:val="00F3431D"/>
    <w:rsid w:val="00F34E63"/>
    <w:rsid w:val="00F3653C"/>
    <w:rsid w:val="00F4350C"/>
    <w:rsid w:val="00F440BE"/>
    <w:rsid w:val="00F51226"/>
    <w:rsid w:val="00F51509"/>
    <w:rsid w:val="00F51BA0"/>
    <w:rsid w:val="00F55A14"/>
    <w:rsid w:val="00F717DE"/>
    <w:rsid w:val="00F71EF7"/>
    <w:rsid w:val="00F726DD"/>
    <w:rsid w:val="00F778AE"/>
    <w:rsid w:val="00F8376E"/>
    <w:rsid w:val="00F846DF"/>
    <w:rsid w:val="00F85554"/>
    <w:rsid w:val="00F86C59"/>
    <w:rsid w:val="00F9443B"/>
    <w:rsid w:val="00F97781"/>
    <w:rsid w:val="00FA240C"/>
    <w:rsid w:val="00FA4C00"/>
    <w:rsid w:val="00FA567C"/>
    <w:rsid w:val="00FA5B87"/>
    <w:rsid w:val="00FB1294"/>
    <w:rsid w:val="00FC7007"/>
    <w:rsid w:val="00FD359E"/>
    <w:rsid w:val="00FD3687"/>
    <w:rsid w:val="00FE28C5"/>
    <w:rsid w:val="00FE49EB"/>
    <w:rsid w:val="00FE4BCF"/>
    <w:rsid w:val="00FE54AF"/>
    <w:rsid w:val="00FE7A1A"/>
    <w:rsid w:val="00FF2F16"/>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05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character" w:customStyle="1" w:styleId="Heading4Char">
    <w:name w:val="Heading 4 Char"/>
    <w:basedOn w:val="DefaultParagraphFont"/>
    <w:link w:val="Heading4"/>
    <w:uiPriority w:val="9"/>
    <w:rsid w:val="008D0571"/>
    <w:rPr>
      <w:rFonts w:asciiTheme="majorHAnsi" w:eastAsiaTheme="majorEastAsia" w:hAnsiTheme="majorHAnsi" w:cstheme="majorBidi"/>
      <w:i/>
      <w:iCs/>
      <w:color w:val="2E74B5" w:themeColor="accent1" w:themeShade="BF"/>
      <w:lang w:val="sq-AL"/>
    </w:rPr>
  </w:style>
  <w:style w:type="paragraph" w:styleId="CommentSubject">
    <w:name w:val="annotation subject"/>
    <w:basedOn w:val="CommentText"/>
    <w:next w:val="CommentText"/>
    <w:link w:val="CommentSubjectChar"/>
    <w:uiPriority w:val="99"/>
    <w:semiHidden/>
    <w:unhideWhenUsed/>
    <w:rsid w:val="00622A7F"/>
    <w:rPr>
      <w:b/>
      <w:bCs/>
    </w:rPr>
  </w:style>
  <w:style w:type="character" w:customStyle="1" w:styleId="CommentSubjectChar">
    <w:name w:val="Comment Subject Char"/>
    <w:basedOn w:val="CommentTextChar"/>
    <w:link w:val="CommentSubject"/>
    <w:uiPriority w:val="99"/>
    <w:semiHidden/>
    <w:rsid w:val="00622A7F"/>
    <w:rPr>
      <w:b/>
      <w:bCs/>
      <w:sz w:val="20"/>
      <w:szCs w:val="20"/>
      <w:lang w:val="sq-AL"/>
    </w:rPr>
  </w:style>
  <w:style w:type="paragraph" w:styleId="Revision">
    <w:name w:val="Revision"/>
    <w:hidden/>
    <w:uiPriority w:val="99"/>
    <w:semiHidden/>
    <w:rsid w:val="00622A7F"/>
    <w:pPr>
      <w:spacing w:after="0" w:line="240" w:lineRule="auto"/>
    </w:pPr>
    <w:rPr>
      <w:lang w:val="sq-AL"/>
    </w:rPr>
  </w:style>
  <w:style w:type="paragraph" w:customStyle="1" w:styleId="Default">
    <w:name w:val="Default"/>
    <w:rsid w:val="00BB7593"/>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1250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0194A"/>
    <w:pPr>
      <w:spacing w:after="0" w:line="240" w:lineRule="auto"/>
    </w:pPr>
    <w:rPr>
      <w:rFonts w:ascii="Calibri" w:eastAsia="Calibri" w:hAnsi="Calibri" w:cs="Times New Roman"/>
      <w:lang w:val="sq-AL"/>
    </w:rPr>
  </w:style>
  <w:style w:type="paragraph" w:customStyle="1" w:styleId="CharCharChar">
    <w:name w:val="Char Char Char"/>
    <w:basedOn w:val="Normal"/>
    <w:rsid w:val="0030194A"/>
    <w:pPr>
      <w:spacing w:line="240" w:lineRule="exact"/>
    </w:pPr>
    <w:rPr>
      <w:rFonts w:ascii="Tahoma" w:eastAsia="Times New Roman" w:hAnsi="Tahoma" w:cs="Times New Roman"/>
      <w:noProof/>
      <w:sz w:val="20"/>
      <w:szCs w:val="20"/>
    </w:rPr>
  </w:style>
  <w:style w:type="character" w:styleId="Strong">
    <w:name w:val="Strong"/>
    <w:uiPriority w:val="22"/>
    <w:qFormat/>
    <w:rsid w:val="001622C0"/>
    <w:rPr>
      <w:b/>
      <w:bCs/>
    </w:rPr>
  </w:style>
  <w:style w:type="table" w:customStyle="1" w:styleId="TableGrid2">
    <w:name w:val="Table Grid2"/>
    <w:basedOn w:val="TableNormal"/>
    <w:next w:val="TableGrid"/>
    <w:uiPriority w:val="39"/>
    <w:rsid w:val="00E4322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05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character" w:customStyle="1" w:styleId="Heading4Char">
    <w:name w:val="Heading 4 Char"/>
    <w:basedOn w:val="DefaultParagraphFont"/>
    <w:link w:val="Heading4"/>
    <w:uiPriority w:val="9"/>
    <w:rsid w:val="008D0571"/>
    <w:rPr>
      <w:rFonts w:asciiTheme="majorHAnsi" w:eastAsiaTheme="majorEastAsia" w:hAnsiTheme="majorHAnsi" w:cstheme="majorBidi"/>
      <w:i/>
      <w:iCs/>
      <w:color w:val="2E74B5" w:themeColor="accent1" w:themeShade="BF"/>
      <w:lang w:val="sq-AL"/>
    </w:rPr>
  </w:style>
  <w:style w:type="paragraph" w:styleId="CommentSubject">
    <w:name w:val="annotation subject"/>
    <w:basedOn w:val="CommentText"/>
    <w:next w:val="CommentText"/>
    <w:link w:val="CommentSubjectChar"/>
    <w:uiPriority w:val="99"/>
    <w:semiHidden/>
    <w:unhideWhenUsed/>
    <w:rsid w:val="00622A7F"/>
    <w:rPr>
      <w:b/>
      <w:bCs/>
    </w:rPr>
  </w:style>
  <w:style w:type="character" w:customStyle="1" w:styleId="CommentSubjectChar">
    <w:name w:val="Comment Subject Char"/>
    <w:basedOn w:val="CommentTextChar"/>
    <w:link w:val="CommentSubject"/>
    <w:uiPriority w:val="99"/>
    <w:semiHidden/>
    <w:rsid w:val="00622A7F"/>
    <w:rPr>
      <w:b/>
      <w:bCs/>
      <w:sz w:val="20"/>
      <w:szCs w:val="20"/>
      <w:lang w:val="sq-AL"/>
    </w:rPr>
  </w:style>
  <w:style w:type="paragraph" w:styleId="Revision">
    <w:name w:val="Revision"/>
    <w:hidden/>
    <w:uiPriority w:val="99"/>
    <w:semiHidden/>
    <w:rsid w:val="00622A7F"/>
    <w:pPr>
      <w:spacing w:after="0" w:line="240" w:lineRule="auto"/>
    </w:pPr>
    <w:rPr>
      <w:lang w:val="sq-AL"/>
    </w:rPr>
  </w:style>
  <w:style w:type="paragraph" w:customStyle="1" w:styleId="Default">
    <w:name w:val="Default"/>
    <w:rsid w:val="00BB7593"/>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1250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0194A"/>
    <w:pPr>
      <w:spacing w:after="0" w:line="240" w:lineRule="auto"/>
    </w:pPr>
    <w:rPr>
      <w:rFonts w:ascii="Calibri" w:eastAsia="Calibri" w:hAnsi="Calibri" w:cs="Times New Roman"/>
      <w:lang w:val="sq-AL"/>
    </w:rPr>
  </w:style>
  <w:style w:type="paragraph" w:customStyle="1" w:styleId="CharCharChar">
    <w:name w:val="Char Char Char"/>
    <w:basedOn w:val="Normal"/>
    <w:rsid w:val="0030194A"/>
    <w:pPr>
      <w:spacing w:line="240" w:lineRule="exact"/>
    </w:pPr>
    <w:rPr>
      <w:rFonts w:ascii="Tahoma" w:eastAsia="Times New Roman" w:hAnsi="Tahoma" w:cs="Times New Roman"/>
      <w:noProof/>
      <w:sz w:val="20"/>
      <w:szCs w:val="20"/>
    </w:rPr>
  </w:style>
  <w:style w:type="character" w:styleId="Strong">
    <w:name w:val="Strong"/>
    <w:uiPriority w:val="22"/>
    <w:qFormat/>
    <w:rsid w:val="001622C0"/>
    <w:rPr>
      <w:b/>
      <w:bCs/>
    </w:rPr>
  </w:style>
  <w:style w:type="table" w:customStyle="1" w:styleId="TableGrid2">
    <w:name w:val="Table Grid2"/>
    <w:basedOn w:val="TableNormal"/>
    <w:next w:val="TableGrid"/>
    <w:uiPriority w:val="39"/>
    <w:rsid w:val="00E4322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3102">
      <w:bodyDiv w:val="1"/>
      <w:marLeft w:val="0"/>
      <w:marRight w:val="0"/>
      <w:marTop w:val="0"/>
      <w:marBottom w:val="0"/>
      <w:divBdr>
        <w:top w:val="none" w:sz="0" w:space="0" w:color="auto"/>
        <w:left w:val="none" w:sz="0" w:space="0" w:color="auto"/>
        <w:bottom w:val="none" w:sz="0" w:space="0" w:color="auto"/>
        <w:right w:val="none" w:sz="0" w:space="0" w:color="auto"/>
      </w:divBdr>
    </w:div>
    <w:div w:id="441994213">
      <w:bodyDiv w:val="1"/>
      <w:marLeft w:val="0"/>
      <w:marRight w:val="0"/>
      <w:marTop w:val="0"/>
      <w:marBottom w:val="0"/>
      <w:divBdr>
        <w:top w:val="none" w:sz="0" w:space="0" w:color="auto"/>
        <w:left w:val="none" w:sz="0" w:space="0" w:color="auto"/>
        <w:bottom w:val="none" w:sz="0" w:space="0" w:color="auto"/>
        <w:right w:val="none" w:sz="0" w:space="0" w:color="auto"/>
      </w:divBdr>
    </w:div>
    <w:div w:id="443231113">
      <w:bodyDiv w:val="1"/>
      <w:marLeft w:val="0"/>
      <w:marRight w:val="0"/>
      <w:marTop w:val="0"/>
      <w:marBottom w:val="0"/>
      <w:divBdr>
        <w:top w:val="none" w:sz="0" w:space="0" w:color="auto"/>
        <w:left w:val="none" w:sz="0" w:space="0" w:color="auto"/>
        <w:bottom w:val="none" w:sz="0" w:space="0" w:color="auto"/>
        <w:right w:val="none" w:sz="0" w:space="0" w:color="auto"/>
      </w:divBdr>
      <w:divsChild>
        <w:div w:id="970940370">
          <w:marLeft w:val="0"/>
          <w:marRight w:val="0"/>
          <w:marTop w:val="0"/>
          <w:marBottom w:val="0"/>
          <w:divBdr>
            <w:top w:val="none" w:sz="0" w:space="0" w:color="auto"/>
            <w:left w:val="none" w:sz="0" w:space="0" w:color="auto"/>
            <w:bottom w:val="none" w:sz="0" w:space="0" w:color="auto"/>
            <w:right w:val="none" w:sz="0" w:space="0" w:color="auto"/>
          </w:divBdr>
          <w:divsChild>
            <w:div w:id="538470710">
              <w:marLeft w:val="0"/>
              <w:marRight w:val="0"/>
              <w:marTop w:val="0"/>
              <w:marBottom w:val="0"/>
              <w:divBdr>
                <w:top w:val="none" w:sz="0" w:space="0" w:color="auto"/>
                <w:left w:val="none" w:sz="0" w:space="0" w:color="auto"/>
                <w:bottom w:val="none" w:sz="0" w:space="0" w:color="auto"/>
                <w:right w:val="none" w:sz="0" w:space="0" w:color="auto"/>
              </w:divBdr>
              <w:divsChild>
                <w:div w:id="1806502944">
                  <w:marLeft w:val="0"/>
                  <w:marRight w:val="0"/>
                  <w:marTop w:val="0"/>
                  <w:marBottom w:val="0"/>
                  <w:divBdr>
                    <w:top w:val="none" w:sz="0" w:space="0" w:color="auto"/>
                    <w:left w:val="none" w:sz="0" w:space="0" w:color="auto"/>
                    <w:bottom w:val="none" w:sz="0" w:space="0" w:color="auto"/>
                    <w:right w:val="none" w:sz="0" w:space="0" w:color="auto"/>
                  </w:divBdr>
                </w:div>
              </w:divsChild>
            </w:div>
            <w:div w:id="1141965083">
              <w:marLeft w:val="0"/>
              <w:marRight w:val="0"/>
              <w:marTop w:val="0"/>
              <w:marBottom w:val="0"/>
              <w:divBdr>
                <w:top w:val="none" w:sz="0" w:space="0" w:color="auto"/>
                <w:left w:val="none" w:sz="0" w:space="0" w:color="auto"/>
                <w:bottom w:val="none" w:sz="0" w:space="0" w:color="auto"/>
                <w:right w:val="none" w:sz="0" w:space="0" w:color="auto"/>
              </w:divBdr>
              <w:divsChild>
                <w:div w:id="1396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4162">
      <w:bodyDiv w:val="1"/>
      <w:marLeft w:val="0"/>
      <w:marRight w:val="0"/>
      <w:marTop w:val="0"/>
      <w:marBottom w:val="0"/>
      <w:divBdr>
        <w:top w:val="none" w:sz="0" w:space="0" w:color="auto"/>
        <w:left w:val="none" w:sz="0" w:space="0" w:color="auto"/>
        <w:bottom w:val="none" w:sz="0" w:space="0" w:color="auto"/>
        <w:right w:val="none" w:sz="0" w:space="0" w:color="auto"/>
      </w:divBdr>
      <w:divsChild>
        <w:div w:id="1405225054">
          <w:marLeft w:val="0"/>
          <w:marRight w:val="0"/>
          <w:marTop w:val="0"/>
          <w:marBottom w:val="0"/>
          <w:divBdr>
            <w:top w:val="none" w:sz="0" w:space="0" w:color="auto"/>
            <w:left w:val="none" w:sz="0" w:space="0" w:color="auto"/>
            <w:bottom w:val="none" w:sz="0" w:space="0" w:color="auto"/>
            <w:right w:val="none" w:sz="0" w:space="0" w:color="auto"/>
          </w:divBdr>
          <w:divsChild>
            <w:div w:id="2060543355">
              <w:marLeft w:val="0"/>
              <w:marRight w:val="0"/>
              <w:marTop w:val="0"/>
              <w:marBottom w:val="0"/>
              <w:divBdr>
                <w:top w:val="none" w:sz="0" w:space="0" w:color="auto"/>
                <w:left w:val="none" w:sz="0" w:space="0" w:color="auto"/>
                <w:bottom w:val="none" w:sz="0" w:space="0" w:color="auto"/>
                <w:right w:val="none" w:sz="0" w:space="0" w:color="auto"/>
              </w:divBdr>
              <w:divsChild>
                <w:div w:id="20764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6500">
      <w:bodyDiv w:val="1"/>
      <w:marLeft w:val="0"/>
      <w:marRight w:val="0"/>
      <w:marTop w:val="0"/>
      <w:marBottom w:val="0"/>
      <w:divBdr>
        <w:top w:val="none" w:sz="0" w:space="0" w:color="auto"/>
        <w:left w:val="none" w:sz="0" w:space="0" w:color="auto"/>
        <w:bottom w:val="none" w:sz="0" w:space="0" w:color="auto"/>
        <w:right w:val="none" w:sz="0" w:space="0" w:color="auto"/>
      </w:divBdr>
      <w:divsChild>
        <w:div w:id="527259224">
          <w:marLeft w:val="0"/>
          <w:marRight w:val="0"/>
          <w:marTop w:val="0"/>
          <w:marBottom w:val="0"/>
          <w:divBdr>
            <w:top w:val="none" w:sz="0" w:space="0" w:color="auto"/>
            <w:left w:val="none" w:sz="0" w:space="0" w:color="auto"/>
            <w:bottom w:val="none" w:sz="0" w:space="0" w:color="auto"/>
            <w:right w:val="none" w:sz="0" w:space="0" w:color="auto"/>
          </w:divBdr>
          <w:divsChild>
            <w:div w:id="1559197225">
              <w:marLeft w:val="0"/>
              <w:marRight w:val="0"/>
              <w:marTop w:val="0"/>
              <w:marBottom w:val="0"/>
              <w:divBdr>
                <w:top w:val="none" w:sz="0" w:space="0" w:color="auto"/>
                <w:left w:val="none" w:sz="0" w:space="0" w:color="auto"/>
                <w:bottom w:val="none" w:sz="0" w:space="0" w:color="auto"/>
                <w:right w:val="none" w:sz="0" w:space="0" w:color="auto"/>
              </w:divBdr>
              <w:divsChild>
                <w:div w:id="13615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9887">
      <w:bodyDiv w:val="1"/>
      <w:marLeft w:val="0"/>
      <w:marRight w:val="0"/>
      <w:marTop w:val="0"/>
      <w:marBottom w:val="0"/>
      <w:divBdr>
        <w:top w:val="none" w:sz="0" w:space="0" w:color="auto"/>
        <w:left w:val="none" w:sz="0" w:space="0" w:color="auto"/>
        <w:bottom w:val="none" w:sz="0" w:space="0" w:color="auto"/>
        <w:right w:val="none" w:sz="0" w:space="0" w:color="auto"/>
      </w:divBdr>
      <w:divsChild>
        <w:div w:id="1482960677">
          <w:marLeft w:val="0"/>
          <w:marRight w:val="0"/>
          <w:marTop w:val="0"/>
          <w:marBottom w:val="0"/>
          <w:divBdr>
            <w:top w:val="none" w:sz="0" w:space="0" w:color="auto"/>
            <w:left w:val="none" w:sz="0" w:space="0" w:color="auto"/>
            <w:bottom w:val="none" w:sz="0" w:space="0" w:color="auto"/>
            <w:right w:val="none" w:sz="0" w:space="0" w:color="auto"/>
          </w:divBdr>
          <w:divsChild>
            <w:div w:id="1844736454">
              <w:marLeft w:val="0"/>
              <w:marRight w:val="0"/>
              <w:marTop w:val="0"/>
              <w:marBottom w:val="0"/>
              <w:divBdr>
                <w:top w:val="none" w:sz="0" w:space="0" w:color="auto"/>
                <w:left w:val="none" w:sz="0" w:space="0" w:color="auto"/>
                <w:bottom w:val="none" w:sz="0" w:space="0" w:color="auto"/>
                <w:right w:val="none" w:sz="0" w:space="0" w:color="auto"/>
              </w:divBdr>
              <w:divsChild>
                <w:div w:id="1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802314737">
      <w:bodyDiv w:val="1"/>
      <w:marLeft w:val="0"/>
      <w:marRight w:val="0"/>
      <w:marTop w:val="0"/>
      <w:marBottom w:val="0"/>
      <w:divBdr>
        <w:top w:val="none" w:sz="0" w:space="0" w:color="auto"/>
        <w:left w:val="none" w:sz="0" w:space="0" w:color="auto"/>
        <w:bottom w:val="none" w:sz="0" w:space="0" w:color="auto"/>
        <w:right w:val="none" w:sz="0" w:space="0" w:color="auto"/>
      </w:divBdr>
      <w:divsChild>
        <w:div w:id="503478699">
          <w:marLeft w:val="0"/>
          <w:marRight w:val="0"/>
          <w:marTop w:val="0"/>
          <w:marBottom w:val="0"/>
          <w:divBdr>
            <w:top w:val="none" w:sz="0" w:space="0" w:color="auto"/>
            <w:left w:val="none" w:sz="0" w:space="0" w:color="auto"/>
            <w:bottom w:val="none" w:sz="0" w:space="0" w:color="auto"/>
            <w:right w:val="none" w:sz="0" w:space="0" w:color="auto"/>
          </w:divBdr>
          <w:divsChild>
            <w:div w:id="266816960">
              <w:marLeft w:val="0"/>
              <w:marRight w:val="0"/>
              <w:marTop w:val="0"/>
              <w:marBottom w:val="0"/>
              <w:divBdr>
                <w:top w:val="none" w:sz="0" w:space="0" w:color="auto"/>
                <w:left w:val="none" w:sz="0" w:space="0" w:color="auto"/>
                <w:bottom w:val="none" w:sz="0" w:space="0" w:color="auto"/>
                <w:right w:val="none" w:sz="0" w:space="0" w:color="auto"/>
              </w:divBdr>
              <w:divsChild>
                <w:div w:id="668481166">
                  <w:marLeft w:val="0"/>
                  <w:marRight w:val="0"/>
                  <w:marTop w:val="0"/>
                  <w:marBottom w:val="0"/>
                  <w:divBdr>
                    <w:top w:val="none" w:sz="0" w:space="0" w:color="auto"/>
                    <w:left w:val="none" w:sz="0" w:space="0" w:color="auto"/>
                    <w:bottom w:val="none" w:sz="0" w:space="0" w:color="auto"/>
                    <w:right w:val="none" w:sz="0" w:space="0" w:color="auto"/>
                  </w:divBdr>
                </w:div>
              </w:divsChild>
            </w:div>
            <w:div w:id="140660427">
              <w:marLeft w:val="0"/>
              <w:marRight w:val="0"/>
              <w:marTop w:val="0"/>
              <w:marBottom w:val="0"/>
              <w:divBdr>
                <w:top w:val="none" w:sz="0" w:space="0" w:color="auto"/>
                <w:left w:val="none" w:sz="0" w:space="0" w:color="auto"/>
                <w:bottom w:val="none" w:sz="0" w:space="0" w:color="auto"/>
                <w:right w:val="none" w:sz="0" w:space="0" w:color="auto"/>
              </w:divBdr>
              <w:divsChild>
                <w:div w:id="1444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2244">
      <w:bodyDiv w:val="1"/>
      <w:marLeft w:val="0"/>
      <w:marRight w:val="0"/>
      <w:marTop w:val="0"/>
      <w:marBottom w:val="0"/>
      <w:divBdr>
        <w:top w:val="none" w:sz="0" w:space="0" w:color="auto"/>
        <w:left w:val="none" w:sz="0" w:space="0" w:color="auto"/>
        <w:bottom w:val="none" w:sz="0" w:space="0" w:color="auto"/>
        <w:right w:val="none" w:sz="0" w:space="0" w:color="auto"/>
      </w:divBdr>
      <w:divsChild>
        <w:div w:id="763116121">
          <w:marLeft w:val="0"/>
          <w:marRight w:val="0"/>
          <w:marTop w:val="225"/>
          <w:marBottom w:val="0"/>
          <w:divBdr>
            <w:top w:val="none" w:sz="0" w:space="0" w:color="auto"/>
            <w:left w:val="none" w:sz="0" w:space="0" w:color="auto"/>
            <w:bottom w:val="none" w:sz="0" w:space="0" w:color="auto"/>
            <w:right w:val="none" w:sz="0" w:space="0" w:color="auto"/>
          </w:divBdr>
          <w:divsChild>
            <w:div w:id="1332097745">
              <w:marLeft w:val="0"/>
              <w:marRight w:val="0"/>
              <w:marTop w:val="0"/>
              <w:marBottom w:val="0"/>
              <w:divBdr>
                <w:top w:val="none" w:sz="0" w:space="0" w:color="auto"/>
                <w:left w:val="none" w:sz="0" w:space="0" w:color="auto"/>
                <w:bottom w:val="none" w:sz="0" w:space="0" w:color="auto"/>
                <w:right w:val="none" w:sz="0" w:space="0" w:color="auto"/>
              </w:divBdr>
            </w:div>
            <w:div w:id="204023312">
              <w:marLeft w:val="0"/>
              <w:marRight w:val="0"/>
              <w:marTop w:val="0"/>
              <w:marBottom w:val="0"/>
              <w:divBdr>
                <w:top w:val="none" w:sz="0" w:space="0" w:color="auto"/>
                <w:left w:val="none" w:sz="0" w:space="0" w:color="auto"/>
                <w:bottom w:val="none" w:sz="0" w:space="0" w:color="auto"/>
                <w:right w:val="none" w:sz="0" w:space="0" w:color="auto"/>
              </w:divBdr>
            </w:div>
            <w:div w:id="1283615853">
              <w:marLeft w:val="0"/>
              <w:marRight w:val="0"/>
              <w:marTop w:val="0"/>
              <w:marBottom w:val="0"/>
              <w:divBdr>
                <w:top w:val="none" w:sz="0" w:space="0" w:color="auto"/>
                <w:left w:val="none" w:sz="0" w:space="0" w:color="auto"/>
                <w:bottom w:val="none" w:sz="0" w:space="0" w:color="auto"/>
                <w:right w:val="none" w:sz="0" w:space="0" w:color="auto"/>
              </w:divBdr>
            </w:div>
          </w:divsChild>
        </w:div>
        <w:div w:id="78871835">
          <w:marLeft w:val="0"/>
          <w:marRight w:val="0"/>
          <w:marTop w:val="150"/>
          <w:marBottom w:val="0"/>
          <w:divBdr>
            <w:top w:val="none" w:sz="0" w:space="0" w:color="auto"/>
            <w:left w:val="none" w:sz="0" w:space="0" w:color="auto"/>
            <w:bottom w:val="none" w:sz="0" w:space="0" w:color="auto"/>
            <w:right w:val="none" w:sz="0" w:space="0" w:color="auto"/>
          </w:divBdr>
        </w:div>
      </w:divsChild>
    </w:div>
    <w:div w:id="846022214">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058937421">
      <w:bodyDiv w:val="1"/>
      <w:marLeft w:val="0"/>
      <w:marRight w:val="0"/>
      <w:marTop w:val="0"/>
      <w:marBottom w:val="0"/>
      <w:divBdr>
        <w:top w:val="none" w:sz="0" w:space="0" w:color="auto"/>
        <w:left w:val="none" w:sz="0" w:space="0" w:color="auto"/>
        <w:bottom w:val="none" w:sz="0" w:space="0" w:color="auto"/>
        <w:right w:val="none" w:sz="0" w:space="0" w:color="auto"/>
      </w:divBdr>
      <w:divsChild>
        <w:div w:id="1499925226">
          <w:marLeft w:val="0"/>
          <w:marRight w:val="0"/>
          <w:marTop w:val="0"/>
          <w:marBottom w:val="0"/>
          <w:divBdr>
            <w:top w:val="none" w:sz="0" w:space="0" w:color="auto"/>
            <w:left w:val="none" w:sz="0" w:space="0" w:color="auto"/>
            <w:bottom w:val="none" w:sz="0" w:space="0" w:color="auto"/>
            <w:right w:val="none" w:sz="0" w:space="0" w:color="auto"/>
          </w:divBdr>
          <w:divsChild>
            <w:div w:id="1668513790">
              <w:marLeft w:val="0"/>
              <w:marRight w:val="0"/>
              <w:marTop w:val="0"/>
              <w:marBottom w:val="0"/>
              <w:divBdr>
                <w:top w:val="none" w:sz="0" w:space="0" w:color="auto"/>
                <w:left w:val="none" w:sz="0" w:space="0" w:color="auto"/>
                <w:bottom w:val="none" w:sz="0" w:space="0" w:color="auto"/>
                <w:right w:val="none" w:sz="0" w:space="0" w:color="auto"/>
              </w:divBdr>
              <w:divsChild>
                <w:div w:id="304286223">
                  <w:marLeft w:val="0"/>
                  <w:marRight w:val="0"/>
                  <w:marTop w:val="0"/>
                  <w:marBottom w:val="0"/>
                  <w:divBdr>
                    <w:top w:val="none" w:sz="0" w:space="0" w:color="auto"/>
                    <w:left w:val="none" w:sz="0" w:space="0" w:color="auto"/>
                    <w:bottom w:val="none" w:sz="0" w:space="0" w:color="auto"/>
                    <w:right w:val="none" w:sz="0" w:space="0" w:color="auto"/>
                  </w:divBdr>
                  <w:divsChild>
                    <w:div w:id="744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191918926">
      <w:bodyDiv w:val="1"/>
      <w:marLeft w:val="0"/>
      <w:marRight w:val="0"/>
      <w:marTop w:val="0"/>
      <w:marBottom w:val="0"/>
      <w:divBdr>
        <w:top w:val="none" w:sz="0" w:space="0" w:color="auto"/>
        <w:left w:val="none" w:sz="0" w:space="0" w:color="auto"/>
        <w:bottom w:val="none" w:sz="0" w:space="0" w:color="auto"/>
        <w:right w:val="none" w:sz="0" w:space="0" w:color="auto"/>
      </w:divBdr>
      <w:divsChild>
        <w:div w:id="1970746357">
          <w:marLeft w:val="0"/>
          <w:marRight w:val="0"/>
          <w:marTop w:val="0"/>
          <w:marBottom w:val="0"/>
          <w:divBdr>
            <w:top w:val="none" w:sz="0" w:space="0" w:color="auto"/>
            <w:left w:val="none" w:sz="0" w:space="0" w:color="auto"/>
            <w:bottom w:val="none" w:sz="0" w:space="0" w:color="auto"/>
            <w:right w:val="none" w:sz="0" w:space="0" w:color="auto"/>
          </w:divBdr>
          <w:divsChild>
            <w:div w:id="131022951">
              <w:marLeft w:val="0"/>
              <w:marRight w:val="0"/>
              <w:marTop w:val="0"/>
              <w:marBottom w:val="0"/>
              <w:divBdr>
                <w:top w:val="none" w:sz="0" w:space="0" w:color="auto"/>
                <w:left w:val="none" w:sz="0" w:space="0" w:color="auto"/>
                <w:bottom w:val="none" w:sz="0" w:space="0" w:color="auto"/>
                <w:right w:val="none" w:sz="0" w:space="0" w:color="auto"/>
              </w:divBdr>
              <w:divsChild>
                <w:div w:id="191694515">
                  <w:marLeft w:val="0"/>
                  <w:marRight w:val="0"/>
                  <w:marTop w:val="0"/>
                  <w:marBottom w:val="0"/>
                  <w:divBdr>
                    <w:top w:val="none" w:sz="0" w:space="0" w:color="auto"/>
                    <w:left w:val="none" w:sz="0" w:space="0" w:color="auto"/>
                    <w:bottom w:val="none" w:sz="0" w:space="0" w:color="auto"/>
                    <w:right w:val="none" w:sz="0" w:space="0" w:color="auto"/>
                  </w:divBdr>
                </w:div>
              </w:divsChild>
            </w:div>
            <w:div w:id="1472093398">
              <w:marLeft w:val="0"/>
              <w:marRight w:val="0"/>
              <w:marTop w:val="0"/>
              <w:marBottom w:val="0"/>
              <w:divBdr>
                <w:top w:val="none" w:sz="0" w:space="0" w:color="auto"/>
                <w:left w:val="none" w:sz="0" w:space="0" w:color="auto"/>
                <w:bottom w:val="none" w:sz="0" w:space="0" w:color="auto"/>
                <w:right w:val="none" w:sz="0" w:space="0" w:color="auto"/>
              </w:divBdr>
              <w:divsChild>
                <w:div w:id="13142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407799228">
      <w:bodyDiv w:val="1"/>
      <w:marLeft w:val="0"/>
      <w:marRight w:val="0"/>
      <w:marTop w:val="0"/>
      <w:marBottom w:val="0"/>
      <w:divBdr>
        <w:top w:val="none" w:sz="0" w:space="0" w:color="auto"/>
        <w:left w:val="none" w:sz="0" w:space="0" w:color="auto"/>
        <w:bottom w:val="none" w:sz="0" w:space="0" w:color="auto"/>
        <w:right w:val="none" w:sz="0" w:space="0" w:color="auto"/>
      </w:divBdr>
    </w:div>
    <w:div w:id="1493835299">
      <w:bodyDiv w:val="1"/>
      <w:marLeft w:val="0"/>
      <w:marRight w:val="0"/>
      <w:marTop w:val="0"/>
      <w:marBottom w:val="0"/>
      <w:divBdr>
        <w:top w:val="none" w:sz="0" w:space="0" w:color="auto"/>
        <w:left w:val="none" w:sz="0" w:space="0" w:color="auto"/>
        <w:bottom w:val="none" w:sz="0" w:space="0" w:color="auto"/>
        <w:right w:val="none" w:sz="0" w:space="0" w:color="auto"/>
      </w:divBdr>
    </w:div>
    <w:div w:id="1570727677">
      <w:bodyDiv w:val="1"/>
      <w:marLeft w:val="0"/>
      <w:marRight w:val="0"/>
      <w:marTop w:val="0"/>
      <w:marBottom w:val="0"/>
      <w:divBdr>
        <w:top w:val="none" w:sz="0" w:space="0" w:color="auto"/>
        <w:left w:val="none" w:sz="0" w:space="0" w:color="auto"/>
        <w:bottom w:val="none" w:sz="0" w:space="0" w:color="auto"/>
        <w:right w:val="none" w:sz="0" w:space="0" w:color="auto"/>
      </w:divBdr>
    </w:div>
    <w:div w:id="1585604319">
      <w:bodyDiv w:val="1"/>
      <w:marLeft w:val="0"/>
      <w:marRight w:val="0"/>
      <w:marTop w:val="0"/>
      <w:marBottom w:val="0"/>
      <w:divBdr>
        <w:top w:val="none" w:sz="0" w:space="0" w:color="auto"/>
        <w:left w:val="none" w:sz="0" w:space="0" w:color="auto"/>
        <w:bottom w:val="none" w:sz="0" w:space="0" w:color="auto"/>
        <w:right w:val="none" w:sz="0" w:space="0" w:color="auto"/>
      </w:divBdr>
    </w:div>
    <w:div w:id="1618609402">
      <w:bodyDiv w:val="1"/>
      <w:marLeft w:val="0"/>
      <w:marRight w:val="0"/>
      <w:marTop w:val="0"/>
      <w:marBottom w:val="0"/>
      <w:divBdr>
        <w:top w:val="none" w:sz="0" w:space="0" w:color="auto"/>
        <w:left w:val="none" w:sz="0" w:space="0" w:color="auto"/>
        <w:bottom w:val="none" w:sz="0" w:space="0" w:color="auto"/>
        <w:right w:val="none" w:sz="0" w:space="0" w:color="auto"/>
      </w:divBdr>
      <w:divsChild>
        <w:div w:id="120194231">
          <w:marLeft w:val="0"/>
          <w:marRight w:val="0"/>
          <w:marTop w:val="0"/>
          <w:marBottom w:val="0"/>
          <w:divBdr>
            <w:top w:val="none" w:sz="0" w:space="0" w:color="auto"/>
            <w:left w:val="none" w:sz="0" w:space="0" w:color="auto"/>
            <w:bottom w:val="none" w:sz="0" w:space="0" w:color="auto"/>
            <w:right w:val="none" w:sz="0" w:space="0" w:color="auto"/>
          </w:divBdr>
          <w:divsChild>
            <w:div w:id="1967927850">
              <w:marLeft w:val="0"/>
              <w:marRight w:val="0"/>
              <w:marTop w:val="0"/>
              <w:marBottom w:val="0"/>
              <w:divBdr>
                <w:top w:val="none" w:sz="0" w:space="0" w:color="auto"/>
                <w:left w:val="none" w:sz="0" w:space="0" w:color="auto"/>
                <w:bottom w:val="none" w:sz="0" w:space="0" w:color="auto"/>
                <w:right w:val="none" w:sz="0" w:space="0" w:color="auto"/>
              </w:divBdr>
              <w:divsChild>
                <w:div w:id="5499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759907636">
      <w:bodyDiv w:val="1"/>
      <w:marLeft w:val="0"/>
      <w:marRight w:val="0"/>
      <w:marTop w:val="0"/>
      <w:marBottom w:val="0"/>
      <w:divBdr>
        <w:top w:val="none" w:sz="0" w:space="0" w:color="auto"/>
        <w:left w:val="none" w:sz="0" w:space="0" w:color="auto"/>
        <w:bottom w:val="none" w:sz="0" w:space="0" w:color="auto"/>
        <w:right w:val="none" w:sz="0" w:space="0" w:color="auto"/>
      </w:divBdr>
    </w:div>
    <w:div w:id="1841700616">
      <w:bodyDiv w:val="1"/>
      <w:marLeft w:val="0"/>
      <w:marRight w:val="0"/>
      <w:marTop w:val="0"/>
      <w:marBottom w:val="0"/>
      <w:divBdr>
        <w:top w:val="none" w:sz="0" w:space="0" w:color="auto"/>
        <w:left w:val="none" w:sz="0" w:space="0" w:color="auto"/>
        <w:bottom w:val="none" w:sz="0" w:space="0" w:color="auto"/>
        <w:right w:val="none" w:sz="0" w:space="0" w:color="auto"/>
      </w:divBdr>
    </w:div>
    <w:div w:id="1841702210">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2008940688">
      <w:bodyDiv w:val="1"/>
      <w:marLeft w:val="0"/>
      <w:marRight w:val="0"/>
      <w:marTop w:val="0"/>
      <w:marBottom w:val="0"/>
      <w:divBdr>
        <w:top w:val="none" w:sz="0" w:space="0" w:color="auto"/>
        <w:left w:val="none" w:sz="0" w:space="0" w:color="auto"/>
        <w:bottom w:val="none" w:sz="0" w:space="0" w:color="auto"/>
        <w:right w:val="none" w:sz="0" w:space="0" w:color="auto"/>
      </w:divBdr>
      <w:divsChild>
        <w:div w:id="1179348505">
          <w:marLeft w:val="0"/>
          <w:marRight w:val="0"/>
          <w:marTop w:val="0"/>
          <w:marBottom w:val="0"/>
          <w:divBdr>
            <w:top w:val="none" w:sz="0" w:space="0" w:color="auto"/>
            <w:left w:val="none" w:sz="0" w:space="0" w:color="auto"/>
            <w:bottom w:val="none" w:sz="0" w:space="0" w:color="auto"/>
            <w:right w:val="none" w:sz="0" w:space="0" w:color="auto"/>
          </w:divBdr>
          <w:divsChild>
            <w:div w:id="1275789474">
              <w:marLeft w:val="0"/>
              <w:marRight w:val="0"/>
              <w:marTop w:val="75"/>
              <w:marBottom w:val="0"/>
              <w:divBdr>
                <w:top w:val="none" w:sz="0" w:space="0" w:color="auto"/>
                <w:left w:val="none" w:sz="0" w:space="0" w:color="auto"/>
                <w:bottom w:val="none" w:sz="0" w:space="0" w:color="auto"/>
                <w:right w:val="none" w:sz="0" w:space="0" w:color="auto"/>
              </w:divBdr>
              <w:divsChild>
                <w:div w:id="12090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347">
          <w:marLeft w:val="0"/>
          <w:marRight w:val="0"/>
          <w:marTop w:val="300"/>
          <w:marBottom w:val="0"/>
          <w:divBdr>
            <w:top w:val="none" w:sz="0" w:space="0" w:color="auto"/>
            <w:left w:val="none" w:sz="0" w:space="0" w:color="auto"/>
            <w:bottom w:val="none" w:sz="0" w:space="0" w:color="auto"/>
            <w:right w:val="none" w:sz="0" w:space="0" w:color="auto"/>
          </w:divBdr>
          <w:divsChild>
            <w:div w:id="279534729">
              <w:marLeft w:val="0"/>
              <w:marRight w:val="0"/>
              <w:marTop w:val="0"/>
              <w:marBottom w:val="0"/>
              <w:divBdr>
                <w:top w:val="none" w:sz="0" w:space="0" w:color="auto"/>
                <w:left w:val="none" w:sz="0" w:space="0" w:color="auto"/>
                <w:bottom w:val="none" w:sz="0" w:space="0" w:color="auto"/>
                <w:right w:val="none" w:sz="0" w:space="0" w:color="auto"/>
              </w:divBdr>
              <w:divsChild>
                <w:div w:id="1152602381">
                  <w:marLeft w:val="0"/>
                  <w:marRight w:val="0"/>
                  <w:marTop w:val="0"/>
                  <w:marBottom w:val="0"/>
                  <w:divBdr>
                    <w:top w:val="none" w:sz="0" w:space="0" w:color="auto"/>
                    <w:left w:val="none" w:sz="0" w:space="0" w:color="auto"/>
                    <w:bottom w:val="none" w:sz="0" w:space="0" w:color="auto"/>
                    <w:right w:val="none" w:sz="0" w:space="0" w:color="auto"/>
                  </w:divBdr>
                  <w:divsChild>
                    <w:div w:id="768701093">
                      <w:marLeft w:val="0"/>
                      <w:marRight w:val="0"/>
                      <w:marTop w:val="0"/>
                      <w:marBottom w:val="0"/>
                      <w:divBdr>
                        <w:top w:val="none" w:sz="0" w:space="0" w:color="auto"/>
                        <w:left w:val="none" w:sz="0" w:space="0" w:color="auto"/>
                        <w:bottom w:val="none" w:sz="0" w:space="0" w:color="auto"/>
                        <w:right w:val="none" w:sz="0" w:space="0" w:color="auto"/>
                      </w:divBdr>
                      <w:divsChild>
                        <w:div w:id="209994664">
                          <w:marLeft w:val="0"/>
                          <w:marRight w:val="0"/>
                          <w:marTop w:val="0"/>
                          <w:marBottom w:val="0"/>
                          <w:divBdr>
                            <w:top w:val="none" w:sz="0" w:space="0" w:color="auto"/>
                            <w:left w:val="none" w:sz="0" w:space="0" w:color="auto"/>
                            <w:bottom w:val="none" w:sz="0" w:space="0" w:color="auto"/>
                            <w:right w:val="none" w:sz="0" w:space="0" w:color="auto"/>
                          </w:divBdr>
                          <w:divsChild>
                            <w:div w:id="18476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nsultimet.rks-gov.net/" TargetMode="External"/><Relationship Id="rId18" Type="http://schemas.openxmlformats.org/officeDocument/2006/relationships/hyperlink" Target="https://gzk.rks-gov.net/" TargetMode="External"/><Relationship Id="rId26" Type="http://schemas.openxmlformats.org/officeDocument/2006/relationships/hyperlink" Target="https://ak.rks-gov.net/ballin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zk.rks-gov.net/" TargetMode="External"/><Relationship Id="rId34" Type="http://schemas.openxmlformats.org/officeDocument/2006/relationships/hyperlink" Target="https://ak.rks-gov.net/ballina"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mei-ks.net/sq/raporti-i-progresit-585" TargetMode="External"/><Relationship Id="rId17" Type="http://schemas.openxmlformats.org/officeDocument/2006/relationships/hyperlink" Target="https://gzk.rks-gov.net/" TargetMode="External"/><Relationship Id="rId25" Type="http://schemas.openxmlformats.org/officeDocument/2006/relationships/hyperlink" Target="https://ak.rks-gov.net/ballina" TargetMode="External"/><Relationship Id="rId33" Type="http://schemas.openxmlformats.org/officeDocument/2006/relationships/hyperlink" Target="https://ak.rks-gov.net/ballin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rks-gov.net/ballina" TargetMode="External"/><Relationship Id="rId20" Type="http://schemas.openxmlformats.org/officeDocument/2006/relationships/hyperlink" Target="https://gzk.rks-gov.net/" TargetMode="External"/><Relationship Id="rId29" Type="http://schemas.openxmlformats.org/officeDocument/2006/relationships/hyperlink" Target="https://ak.rks-gov.net/ball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rks-gov.net/" TargetMode="External"/><Relationship Id="rId24" Type="http://schemas.openxmlformats.org/officeDocument/2006/relationships/hyperlink" Target="https://ak.rks-gov.net/ballina" TargetMode="External"/><Relationship Id="rId32" Type="http://schemas.openxmlformats.org/officeDocument/2006/relationships/hyperlink" Target="https://ak.rks-gov.net/ballina"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ei-ks.net/sq" TargetMode="External"/><Relationship Id="rId23" Type="http://schemas.openxmlformats.org/officeDocument/2006/relationships/hyperlink" Target="https://ak.rks-gov.net/ballina" TargetMode="External"/><Relationship Id="rId28" Type="http://schemas.openxmlformats.org/officeDocument/2006/relationships/hyperlink" Target="https://ak.rks-gov.net/ballina" TargetMode="External"/><Relationship Id="rId36" Type="http://schemas.openxmlformats.org/officeDocument/2006/relationships/header" Target="header1.xml"/><Relationship Id="rId10" Type="http://schemas.openxmlformats.org/officeDocument/2006/relationships/hyperlink" Target="https://ak.rks-gov.net/" TargetMode="External"/><Relationship Id="rId19" Type="http://schemas.openxmlformats.org/officeDocument/2006/relationships/hyperlink" Target="https://gzk.rks-gov.net/" TargetMode="External"/><Relationship Id="rId31" Type="http://schemas.openxmlformats.org/officeDocument/2006/relationships/hyperlink" Target="https://ak.rks-gov.net/ballin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ei-ks.net/sq" TargetMode="External"/><Relationship Id="rId22" Type="http://schemas.openxmlformats.org/officeDocument/2006/relationships/hyperlink" Target="https://gzk.rks-gov.net/" TargetMode="External"/><Relationship Id="rId27" Type="http://schemas.openxmlformats.org/officeDocument/2006/relationships/hyperlink" Target="https://ak.rks-gov.net/ballina" TargetMode="External"/><Relationship Id="rId30" Type="http://schemas.openxmlformats.org/officeDocument/2006/relationships/hyperlink" Target="https://ak.rks-gov.net/ballina" TargetMode="External"/><Relationship Id="rId35" Type="http://schemas.openxmlformats.org/officeDocument/2006/relationships/hyperlink" Target="https://ak.rks-gov.net/ballina"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14XC0830(01)&amp;from=EN" TargetMode="External"/><Relationship Id="rId13" Type="http://schemas.openxmlformats.org/officeDocument/2006/relationships/hyperlink" Target="https://eur-lex.europa.eu/legal-content/EN/TXT/PDF/?uri=CELEX:32009R0169&amp;from=EN" TargetMode="External"/><Relationship Id="rId18" Type="http://schemas.openxmlformats.org/officeDocument/2006/relationships/hyperlink" Target="http://ec.europa.eu/competition/antitrust/nca.html" TargetMode="External"/><Relationship Id="rId3" Type="http://schemas.openxmlformats.org/officeDocument/2006/relationships/hyperlink" Target="https://eur-lex.europa.eu/legal-content/EN/TXT/PDF/?uri=CELEX:32004R0773&amp;from=EN" TargetMode="External"/><Relationship Id="rId7" Type="http://schemas.openxmlformats.org/officeDocument/2006/relationships/hyperlink" Target="https://eur-lex.europa.eu/legal-content/EN/TXT/PDF/?uri=CELEX:31997Y1209(01)&amp;from=EN" TargetMode="External"/><Relationship Id="rId12" Type="http://schemas.openxmlformats.org/officeDocument/2006/relationships/hyperlink" Target="https://eur-lex.europa.eu/LexUriServ/LexUriServ.do?uri=OJ:L:2010:083:0001:0007:EN:PDF" TargetMode="External"/><Relationship Id="rId17" Type="http://schemas.openxmlformats.org/officeDocument/2006/relationships/hyperlink" Target="https://eur-lex.europa.eu/legal-content/EN/TXT/PDF/?uri=CELEX:32014L0104&amp;from=EN" TargetMode="External"/><Relationship Id="rId2" Type="http://schemas.openxmlformats.org/officeDocument/2006/relationships/hyperlink" Target="https://eur-lex.europa.eu/legal-content/EN/TXT/PDF/?uri=CELEX:32003R0001&amp;from=en" TargetMode="External"/><Relationship Id="rId16" Type="http://schemas.openxmlformats.org/officeDocument/2006/relationships/hyperlink" Target="https://eur-lex.europa.eu/legal-content/EN/TXT/PDF/?uri=CELEX:32014R0316&amp;from=EN" TargetMode="External"/><Relationship Id="rId1" Type="http://schemas.openxmlformats.org/officeDocument/2006/relationships/hyperlink" Target="https://www.mei-ks.net/repository/docs/Traktati_i_Lisbones_-_Verzioni_i_Konsoliduar.pdf" TargetMode="External"/><Relationship Id="rId6" Type="http://schemas.openxmlformats.org/officeDocument/2006/relationships/hyperlink" Target="https://eur-lex.europa.eu/legal-content/EN/TXT/PDF/?uri=CELEX:02006XC1208(04)-20150805&amp;from=EN" TargetMode="External"/><Relationship Id="rId11" Type="http://schemas.openxmlformats.org/officeDocument/2006/relationships/hyperlink" Target="https://eur-lex.europa.eu/legal-content/EN/TXT/PDF/?uri=CELEX:52011XC0114(04)&amp;from=EN" TargetMode="External"/><Relationship Id="rId5" Type="http://schemas.openxmlformats.org/officeDocument/2006/relationships/hyperlink" Target="https://eur-lex.europa.eu/legal-content/EN/TXT/PDF/?uri=CELEX:52006XC1208(04)&amp;from=EN" TargetMode="External"/><Relationship Id="rId15" Type="http://schemas.openxmlformats.org/officeDocument/2006/relationships/hyperlink" Target="https://eur-lex.europa.eu/legal-content/EN/TXT/PDF/?uri=CELEX:32004R0802&amp;from=EN" TargetMode="External"/><Relationship Id="rId10" Type="http://schemas.openxmlformats.org/officeDocument/2006/relationships/hyperlink" Target="https://eur-lex.europa.eu/legal-content/EN/TXT/PDF/?uri=CELEX:32010R0461&amp;from=EN" TargetMode="External"/><Relationship Id="rId4" Type="http://schemas.openxmlformats.org/officeDocument/2006/relationships/hyperlink" Target="https://eur-lex.europa.eu/legal-content/EN/TXT/PDF/?uri=CELEX:52006XC0901(01)&amp;from=EN" TargetMode="External"/><Relationship Id="rId9" Type="http://schemas.openxmlformats.org/officeDocument/2006/relationships/hyperlink" Target="https://eur-lex.europa.eu/legal-content/EN/TXT/PDF/?uri=CELEX:32010R0330&amp;from=EN" TargetMode="External"/><Relationship Id="rId14" Type="http://schemas.openxmlformats.org/officeDocument/2006/relationships/hyperlink" Target="https://eur-lex.europa.eu/legal-content/EN/TXT/PDF/?uri=CELEX:32004R013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77C3-9893-4361-A0D5-7AC4E079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18705</Words>
  <Characters>106620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Bleron Menzelxhiu</cp:lastModifiedBy>
  <cp:revision>2</cp:revision>
  <cp:lastPrinted>2018-12-10T11:21:00Z</cp:lastPrinted>
  <dcterms:created xsi:type="dcterms:W3CDTF">2018-12-12T13:47:00Z</dcterms:created>
  <dcterms:modified xsi:type="dcterms:W3CDTF">2018-12-12T13:47:00Z</dcterms:modified>
</cp:coreProperties>
</file>